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9EDCE" w14:textId="197463D8" w:rsidR="007A2305" w:rsidRPr="007A2305" w:rsidRDefault="007A2305" w:rsidP="007A2305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7A2305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714AC1">
        <w:rPr>
          <w:rFonts w:ascii="Corbel" w:hAnsi="Corbel"/>
          <w:bCs/>
          <w:i/>
          <w:lang w:eastAsia="ar-SA"/>
        </w:rPr>
        <w:t>61</w:t>
      </w:r>
      <w:r w:rsidRPr="007A2305">
        <w:rPr>
          <w:rFonts w:ascii="Corbel" w:hAnsi="Corbel"/>
          <w:bCs/>
          <w:i/>
          <w:lang w:eastAsia="ar-SA"/>
        </w:rPr>
        <w:t>/202</w:t>
      </w:r>
      <w:r w:rsidR="00714AC1">
        <w:rPr>
          <w:rFonts w:ascii="Corbel" w:hAnsi="Corbel"/>
          <w:bCs/>
          <w:i/>
          <w:lang w:eastAsia="ar-SA"/>
        </w:rPr>
        <w:t>5</w:t>
      </w:r>
    </w:p>
    <w:p w14:paraId="7244EB99" w14:textId="77777777" w:rsidR="007A2305" w:rsidRPr="007A2305" w:rsidRDefault="007A2305" w:rsidP="007A2305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A2305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590F3ED9" w14:textId="41669EF8" w:rsidR="007A2305" w:rsidRPr="007A2305" w:rsidRDefault="007A2305" w:rsidP="007A2305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7A2305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714AC1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7A2305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714AC1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38EAE4D2" w14:textId="77777777" w:rsidR="007A2305" w:rsidRPr="007A2305" w:rsidRDefault="007A2305" w:rsidP="00247579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7A2305">
        <w:rPr>
          <w:rFonts w:ascii="Corbel" w:hAnsi="Corbel"/>
          <w:i/>
          <w:sz w:val="20"/>
          <w:szCs w:val="20"/>
          <w:lang w:eastAsia="ar-SA"/>
        </w:rPr>
        <w:t>(skrajne daty</w:t>
      </w:r>
      <w:r w:rsidRPr="007A2305">
        <w:rPr>
          <w:rFonts w:ascii="Corbel" w:hAnsi="Corbel"/>
          <w:sz w:val="20"/>
          <w:szCs w:val="20"/>
          <w:lang w:eastAsia="ar-SA"/>
        </w:rPr>
        <w:t>)</w:t>
      </w:r>
    </w:p>
    <w:p w14:paraId="05C6B35E" w14:textId="484B4C91" w:rsidR="007A2305" w:rsidRPr="007A2305" w:rsidRDefault="007A2305" w:rsidP="007A2305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7A2305">
        <w:rPr>
          <w:rFonts w:ascii="Corbel" w:hAnsi="Corbel"/>
          <w:sz w:val="20"/>
          <w:szCs w:val="20"/>
          <w:lang w:eastAsia="ar-SA"/>
        </w:rPr>
        <w:t>Rok akademicki 202</w:t>
      </w:r>
      <w:r w:rsidR="00714AC1">
        <w:rPr>
          <w:rFonts w:ascii="Corbel" w:hAnsi="Corbel"/>
          <w:sz w:val="20"/>
          <w:szCs w:val="20"/>
          <w:lang w:eastAsia="ar-SA"/>
        </w:rPr>
        <w:t>6</w:t>
      </w:r>
      <w:r w:rsidRPr="007A2305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714AC1">
        <w:rPr>
          <w:rFonts w:ascii="Corbel" w:hAnsi="Corbel"/>
          <w:sz w:val="20"/>
          <w:szCs w:val="20"/>
          <w:lang w:eastAsia="ar-SA"/>
        </w:rPr>
        <w:t>7</w:t>
      </w:r>
    </w:p>
    <w:p w14:paraId="5D28286B" w14:textId="77777777" w:rsidR="0085747A" w:rsidRPr="00FB586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A37160" w14:textId="77777777" w:rsidR="0085747A" w:rsidRPr="00FB586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B586E">
        <w:rPr>
          <w:rFonts w:ascii="Corbel" w:hAnsi="Corbel"/>
          <w:szCs w:val="24"/>
        </w:rPr>
        <w:t xml:space="preserve">1. </w:t>
      </w:r>
      <w:r w:rsidR="0085747A" w:rsidRPr="00FB586E">
        <w:rPr>
          <w:rFonts w:ascii="Corbel" w:hAnsi="Corbel"/>
          <w:szCs w:val="24"/>
        </w:rPr>
        <w:t xml:space="preserve">Podstawowe </w:t>
      </w:r>
      <w:r w:rsidR="00445970" w:rsidRPr="00FB586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C32C6" w:rsidRPr="00FB586E" w14:paraId="2E466334" w14:textId="77777777" w:rsidTr="2D3C6070">
        <w:tc>
          <w:tcPr>
            <w:tcW w:w="2694" w:type="dxa"/>
            <w:vAlign w:val="center"/>
          </w:tcPr>
          <w:p w14:paraId="61416E47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30840B" w14:textId="77777777" w:rsidR="007C32C6" w:rsidRPr="00FB586E" w:rsidRDefault="00165338" w:rsidP="2FC3B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</w:pPr>
            <w:r w:rsidRPr="2FC3B46E"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  <w:t>Prawne aspekty systemu finansowania projektów w Unii Europejskiej</w:t>
            </w:r>
          </w:p>
        </w:tc>
      </w:tr>
      <w:tr w:rsidR="007C32C6" w:rsidRPr="00FB586E" w14:paraId="6D4121C3" w14:textId="77777777" w:rsidTr="2D3C6070">
        <w:tc>
          <w:tcPr>
            <w:tcW w:w="2694" w:type="dxa"/>
            <w:vAlign w:val="center"/>
          </w:tcPr>
          <w:p w14:paraId="5D58871F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44AA2C" w14:textId="30898EAB" w:rsidR="007C32C6" w:rsidRPr="00FB586E" w:rsidRDefault="00C023CE" w:rsidP="00AF343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023CE">
              <w:rPr>
                <w:rFonts w:ascii="Corbel" w:hAnsi="Corbel"/>
                <w:b w:val="0"/>
                <w:color w:val="auto"/>
                <w:sz w:val="24"/>
                <w:szCs w:val="24"/>
              </w:rPr>
              <w:t>A2SO58</w:t>
            </w:r>
          </w:p>
        </w:tc>
      </w:tr>
      <w:tr w:rsidR="007C32C6" w:rsidRPr="00FB586E" w14:paraId="690475CC" w14:textId="77777777" w:rsidTr="2D3C6070">
        <w:tc>
          <w:tcPr>
            <w:tcW w:w="2694" w:type="dxa"/>
            <w:vAlign w:val="center"/>
          </w:tcPr>
          <w:p w14:paraId="76B9367D" w14:textId="28C5F3E6" w:rsidR="007C32C6" w:rsidRPr="00FB586E" w:rsidRDefault="00714AC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7C32C6" w:rsidRPr="00FB586E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A6C54F8" w14:textId="4A3DF58B" w:rsidR="007C32C6" w:rsidRPr="00FB586E" w:rsidRDefault="00714AC1" w:rsidP="00AF343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7C32C6" w:rsidRPr="00FB586E" w14:paraId="0D4FCA47" w14:textId="77777777" w:rsidTr="2D3C6070">
        <w:tc>
          <w:tcPr>
            <w:tcW w:w="2694" w:type="dxa"/>
            <w:vAlign w:val="center"/>
          </w:tcPr>
          <w:p w14:paraId="6B280CCA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7FA0FC" w14:textId="1808125B" w:rsidR="007C32C6" w:rsidRPr="00FB586E" w:rsidRDefault="00714AC1" w:rsidP="00AF343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Katedra </w:t>
            </w:r>
            <w:r w:rsidR="0028260C" w:rsidRPr="2FC3B46E">
              <w:rPr>
                <w:rFonts w:ascii="Corbel" w:hAnsi="Corbel"/>
                <w:b w:val="0"/>
                <w:color w:val="auto"/>
                <w:sz w:val="24"/>
                <w:szCs w:val="24"/>
              </w:rPr>
              <w:t>Prawa Finansowego</w:t>
            </w:r>
          </w:p>
        </w:tc>
      </w:tr>
      <w:tr w:rsidR="007C32C6" w:rsidRPr="00FB586E" w14:paraId="46D6934D" w14:textId="77777777" w:rsidTr="2D3C6070">
        <w:tc>
          <w:tcPr>
            <w:tcW w:w="2694" w:type="dxa"/>
            <w:vAlign w:val="center"/>
          </w:tcPr>
          <w:p w14:paraId="490FBA78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715BAA" w14:textId="77777777" w:rsidR="007C32C6" w:rsidRPr="00FB586E" w:rsidRDefault="009B265E" w:rsidP="00AF343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7C32C6" w:rsidRPr="00FB586E" w14:paraId="7389BE46" w14:textId="77777777" w:rsidTr="2D3C6070">
        <w:tc>
          <w:tcPr>
            <w:tcW w:w="2694" w:type="dxa"/>
            <w:vAlign w:val="center"/>
          </w:tcPr>
          <w:p w14:paraId="30DDC545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E5A8CE" w14:textId="518E1B62" w:rsidR="007C32C6" w:rsidRPr="00FB586E" w:rsidRDefault="009B265E" w:rsidP="001653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28260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7C32C6" w:rsidRPr="00FB586E" w14:paraId="3777E03C" w14:textId="77777777" w:rsidTr="2D3C6070">
        <w:tc>
          <w:tcPr>
            <w:tcW w:w="2694" w:type="dxa"/>
            <w:vAlign w:val="center"/>
          </w:tcPr>
          <w:p w14:paraId="065582A9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82515B" w14:textId="77777777" w:rsidR="007C32C6" w:rsidRPr="00FB586E" w:rsidRDefault="007C32C6" w:rsidP="00AF343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C32C6" w:rsidRPr="00FB586E" w14:paraId="015E12F1" w14:textId="77777777" w:rsidTr="2D3C6070">
        <w:tc>
          <w:tcPr>
            <w:tcW w:w="2694" w:type="dxa"/>
            <w:vAlign w:val="center"/>
          </w:tcPr>
          <w:p w14:paraId="0CE21EEA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C8A490" w14:textId="5CFD04CC" w:rsidR="007C32C6" w:rsidRPr="00FB586E" w:rsidRDefault="0088696F" w:rsidP="00AF343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7C32C6" w:rsidRPr="00FB586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C32C6" w:rsidRPr="00FB586E" w14:paraId="4B9CF748" w14:textId="77777777" w:rsidTr="2D3C6070">
        <w:tc>
          <w:tcPr>
            <w:tcW w:w="2694" w:type="dxa"/>
            <w:vAlign w:val="center"/>
          </w:tcPr>
          <w:p w14:paraId="110946E0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F0B002" w14:textId="5792420E" w:rsidR="007C32C6" w:rsidRPr="00FB586E" w:rsidRDefault="00997E98" w:rsidP="00AF343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2FC3B46E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  <w:r w:rsidR="0097533E" w:rsidRPr="2FC3B4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14AC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5BA71AF0" w:rsidRPr="2FC3B4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/ </w:t>
            </w:r>
            <w:r w:rsidR="0097533E" w:rsidRPr="2FC3B46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023CE" w:rsidRPr="2FC3B46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7533E" w:rsidRPr="2FC3B46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</w:t>
            </w:r>
            <w:r w:rsidR="00714AC1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7C32C6" w:rsidRPr="00FB586E" w14:paraId="4E6F97B6" w14:textId="77777777" w:rsidTr="2D3C6070">
        <w:tc>
          <w:tcPr>
            <w:tcW w:w="2694" w:type="dxa"/>
            <w:vAlign w:val="center"/>
          </w:tcPr>
          <w:p w14:paraId="5FC77057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2DA069" w14:textId="067C7D43" w:rsidR="007C32C6" w:rsidRPr="00FB586E" w:rsidRDefault="00D05E3E" w:rsidP="00AF343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7C32C6" w:rsidRPr="00FB586E" w14:paraId="4085E3D1" w14:textId="77777777" w:rsidTr="2D3C6070">
        <w:tc>
          <w:tcPr>
            <w:tcW w:w="2694" w:type="dxa"/>
            <w:vAlign w:val="center"/>
          </w:tcPr>
          <w:p w14:paraId="2A1C0A78" w14:textId="77777777" w:rsidR="007C32C6" w:rsidRPr="00FB586E" w:rsidRDefault="007C32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CA6B5F" w14:textId="08B4F5F8" w:rsidR="007C32C6" w:rsidRPr="00FB586E" w:rsidRDefault="007C32C6" w:rsidP="00AF343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FB586E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Polski</w:t>
            </w:r>
          </w:p>
        </w:tc>
      </w:tr>
      <w:tr w:rsidR="0006066E" w:rsidRPr="00FB586E" w14:paraId="2DE606FD" w14:textId="77777777" w:rsidTr="2D3C6070">
        <w:tc>
          <w:tcPr>
            <w:tcW w:w="2694" w:type="dxa"/>
            <w:vAlign w:val="center"/>
          </w:tcPr>
          <w:p w14:paraId="6B81ADA1" w14:textId="77777777" w:rsidR="0006066E" w:rsidRPr="00FB586E" w:rsidRDefault="0006066E" w:rsidP="000606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68EED81F" w14:textId="0CD77E56" w:rsidR="0006066E" w:rsidRPr="00FB586E" w:rsidRDefault="0006066E" w:rsidP="0006066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CB5EFA">
              <w:rPr>
                <w:rFonts w:ascii="Corbel" w:hAnsi="Corbel"/>
                <w:b w:val="0"/>
                <w:sz w:val="24"/>
                <w:szCs w:val="24"/>
              </w:rPr>
              <w:t>prof. dr hab. Elżbieta Feret</w:t>
            </w:r>
          </w:p>
        </w:tc>
      </w:tr>
      <w:tr w:rsidR="0006066E" w:rsidRPr="00FB586E" w14:paraId="0257CA2C" w14:textId="77777777" w:rsidTr="00714AC1">
        <w:tc>
          <w:tcPr>
            <w:tcW w:w="2694" w:type="dxa"/>
            <w:vAlign w:val="center"/>
          </w:tcPr>
          <w:p w14:paraId="6CA6D6B3" w14:textId="77777777" w:rsidR="0006066E" w:rsidRPr="00FB586E" w:rsidRDefault="0006066E" w:rsidP="000606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F9511A" w14:textId="42165C0C" w:rsidR="0006066E" w:rsidRPr="00997E98" w:rsidRDefault="0006066E" w:rsidP="00714AC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2D3C6070">
              <w:rPr>
                <w:rFonts w:ascii="Corbel" w:hAnsi="Corbel"/>
                <w:b w:val="0"/>
                <w:sz w:val="24"/>
                <w:szCs w:val="24"/>
              </w:rPr>
              <w:t xml:space="preserve">prof. dr hab. Elżbieta Feret, dr Paweł Majka, dr Marta Sagan,  </w:t>
            </w:r>
          </w:p>
          <w:p w14:paraId="5787731B" w14:textId="7A4C4BC6" w:rsidR="0006066E" w:rsidRPr="00997E98" w:rsidRDefault="0006066E" w:rsidP="00714AC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2D3C6070">
              <w:rPr>
                <w:rFonts w:ascii="Corbel" w:hAnsi="Corbel"/>
                <w:b w:val="0"/>
                <w:sz w:val="24"/>
                <w:szCs w:val="24"/>
              </w:rPr>
              <w:t xml:space="preserve">dr Anna Wójtowicz-Dawid, dr Joanna </w:t>
            </w:r>
            <w:proofErr w:type="spellStart"/>
            <w:r w:rsidRPr="2D3C6070">
              <w:rPr>
                <w:rFonts w:ascii="Corbel" w:hAnsi="Corbel"/>
                <w:b w:val="0"/>
                <w:sz w:val="24"/>
                <w:szCs w:val="24"/>
              </w:rPr>
              <w:t>Łubina</w:t>
            </w:r>
            <w:proofErr w:type="spellEnd"/>
          </w:p>
        </w:tc>
      </w:tr>
    </w:tbl>
    <w:p w14:paraId="7CF3BB05" w14:textId="77777777" w:rsidR="0085747A" w:rsidRDefault="0085747A" w:rsidP="00714AC1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B586E">
        <w:rPr>
          <w:rFonts w:ascii="Corbel" w:hAnsi="Corbel"/>
          <w:sz w:val="24"/>
          <w:szCs w:val="24"/>
        </w:rPr>
        <w:t xml:space="preserve">* </w:t>
      </w:r>
      <w:r w:rsidRPr="00FB586E">
        <w:rPr>
          <w:rFonts w:ascii="Corbel" w:hAnsi="Corbel"/>
          <w:i/>
          <w:sz w:val="24"/>
          <w:szCs w:val="24"/>
        </w:rPr>
        <w:t>-</w:t>
      </w:r>
      <w:r w:rsidR="00B90885" w:rsidRPr="00FB586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B586E">
        <w:rPr>
          <w:rFonts w:ascii="Corbel" w:hAnsi="Corbel"/>
          <w:b w:val="0"/>
          <w:sz w:val="24"/>
          <w:szCs w:val="24"/>
        </w:rPr>
        <w:t>e,</w:t>
      </w:r>
      <w:r w:rsidRPr="00FB586E">
        <w:rPr>
          <w:rFonts w:ascii="Corbel" w:hAnsi="Corbel"/>
          <w:i/>
          <w:sz w:val="24"/>
          <w:szCs w:val="24"/>
        </w:rPr>
        <w:t xml:space="preserve"> </w:t>
      </w:r>
      <w:r w:rsidRPr="00FB586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B586E">
        <w:rPr>
          <w:rFonts w:ascii="Corbel" w:hAnsi="Corbel"/>
          <w:b w:val="0"/>
          <w:i/>
          <w:sz w:val="24"/>
          <w:szCs w:val="24"/>
        </w:rPr>
        <w:t>w Jednostce</w:t>
      </w:r>
    </w:p>
    <w:p w14:paraId="51538945" w14:textId="77777777" w:rsidR="00714AC1" w:rsidRPr="00FB586E" w:rsidRDefault="00714AC1" w:rsidP="00714AC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AD1BD" w14:textId="7D298DC6" w:rsidR="0085747A" w:rsidRPr="00FB586E" w:rsidRDefault="00714AC1" w:rsidP="00714AC1">
      <w:pPr>
        <w:pStyle w:val="Podpunkty"/>
        <w:ind w:left="284"/>
        <w:rPr>
          <w:rFonts w:ascii="Corbel" w:hAnsi="Corbel"/>
          <w:sz w:val="24"/>
          <w:szCs w:val="24"/>
        </w:rPr>
      </w:pPr>
      <w:r w:rsidRPr="00714AC1">
        <w:rPr>
          <w:rFonts w:ascii="Corbel" w:hAnsi="Corbel"/>
          <w:b w:val="0"/>
          <w:sz w:val="24"/>
          <w:szCs w:val="24"/>
        </w:rPr>
        <w:t>1.</w:t>
      </w:r>
      <w:r>
        <w:rPr>
          <w:rFonts w:ascii="Corbel" w:hAnsi="Corbel"/>
          <w:sz w:val="24"/>
          <w:szCs w:val="24"/>
        </w:rPr>
        <w:t xml:space="preserve">1. </w:t>
      </w:r>
      <w:r w:rsidR="0085747A" w:rsidRPr="00FB586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F1CFBE6" w14:textId="77777777" w:rsidR="00923D7D" w:rsidRPr="00FB586E" w:rsidRDefault="00923D7D" w:rsidP="00714AC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FB586E" w14:paraId="437C86D5" w14:textId="77777777" w:rsidTr="2D3C6070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8A842" w14:textId="77777777" w:rsidR="00015B8F" w:rsidRPr="00FB586E" w:rsidRDefault="00015B8F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Semestr</w:t>
            </w:r>
          </w:p>
          <w:p w14:paraId="7F5BAFA2" w14:textId="77777777" w:rsidR="00015B8F" w:rsidRPr="00FB586E" w:rsidRDefault="002B5EA0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(</w:t>
            </w:r>
            <w:r w:rsidR="00363F78" w:rsidRPr="00FB586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DDAE0" w14:textId="77777777" w:rsidR="00015B8F" w:rsidRPr="00FB586E" w:rsidRDefault="594ABD29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2D3C6070">
              <w:rPr>
                <w:rFonts w:ascii="Corbel" w:hAnsi="Corbel"/>
              </w:rPr>
              <w:t>Wykł</w:t>
            </w:r>
            <w:proofErr w:type="spellEnd"/>
            <w:r w:rsidRPr="2D3C607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2BB7C" w14:textId="77777777" w:rsidR="00015B8F" w:rsidRPr="00FB586E" w:rsidRDefault="00015B8F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F647C" w14:textId="77777777" w:rsidR="00015B8F" w:rsidRPr="00FB586E" w:rsidRDefault="594ABD29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2D3C6070">
              <w:rPr>
                <w:rFonts w:ascii="Corbel" w:hAnsi="Corbel"/>
              </w:rPr>
              <w:t>Konw</w:t>
            </w:r>
            <w:proofErr w:type="spellEnd"/>
            <w:r w:rsidRPr="2D3C607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E93C1" w14:textId="77777777" w:rsidR="00015B8F" w:rsidRPr="00FB586E" w:rsidRDefault="00015B8F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7417B" w14:textId="77777777" w:rsidR="00015B8F" w:rsidRPr="00FB586E" w:rsidRDefault="594ABD29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2D3C6070">
              <w:rPr>
                <w:rFonts w:ascii="Corbel" w:hAnsi="Corbel"/>
              </w:rPr>
              <w:t>Sem</w:t>
            </w:r>
            <w:proofErr w:type="spellEnd"/>
            <w:r w:rsidRPr="2D3C607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7FAF4" w14:textId="77777777" w:rsidR="00015B8F" w:rsidRPr="00FB586E" w:rsidRDefault="00015B8F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3270" w14:textId="77777777" w:rsidR="00015B8F" w:rsidRPr="00FB586E" w:rsidRDefault="594ABD29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2D3C6070">
              <w:rPr>
                <w:rFonts w:ascii="Corbel" w:hAnsi="Corbel"/>
              </w:rPr>
              <w:t>Prakt</w:t>
            </w:r>
            <w:proofErr w:type="spellEnd"/>
            <w:r w:rsidRPr="2D3C607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2DDB0" w14:textId="77777777" w:rsidR="00015B8F" w:rsidRPr="00FB586E" w:rsidRDefault="00015B8F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586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F6B19" w14:textId="77777777" w:rsidR="00015B8F" w:rsidRPr="00FB586E" w:rsidRDefault="00015B8F" w:rsidP="00714A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B586E">
              <w:rPr>
                <w:rFonts w:ascii="Corbel" w:hAnsi="Corbel"/>
                <w:b/>
                <w:szCs w:val="24"/>
              </w:rPr>
              <w:t>Liczba pkt</w:t>
            </w:r>
            <w:r w:rsidR="00B90885" w:rsidRPr="00FB586E">
              <w:rPr>
                <w:rFonts w:ascii="Corbel" w:hAnsi="Corbel"/>
                <w:b/>
                <w:szCs w:val="24"/>
              </w:rPr>
              <w:t>.</w:t>
            </w:r>
            <w:r w:rsidRPr="00FB586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B586E" w14:paraId="538032CC" w14:textId="77777777" w:rsidTr="2D3C6070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70AC" w14:textId="18C69E2B" w:rsidR="00015B8F" w:rsidRPr="00FB586E" w:rsidRDefault="00C023CE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D3C6070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416B" w14:textId="77777777" w:rsidR="00015B8F" w:rsidRPr="00FB586E" w:rsidRDefault="009B265E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D3C607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4B8F" w14:textId="71ADE651" w:rsidR="00015B8F" w:rsidRPr="00FB586E" w:rsidRDefault="00015B8F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94CE" w14:textId="77777777" w:rsidR="00015B8F" w:rsidRPr="00FB586E" w:rsidRDefault="00015B8F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4CDE" w14:textId="77777777" w:rsidR="00015B8F" w:rsidRPr="00FB586E" w:rsidRDefault="00015B8F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DD07" w14:textId="77777777" w:rsidR="00015B8F" w:rsidRPr="00FB586E" w:rsidRDefault="00015B8F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4376" w14:textId="77777777" w:rsidR="00015B8F" w:rsidRPr="00FB586E" w:rsidRDefault="00015B8F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F1B1" w14:textId="77777777" w:rsidR="00015B8F" w:rsidRPr="00FB586E" w:rsidRDefault="00015B8F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D564" w14:textId="77777777" w:rsidR="00015B8F" w:rsidRPr="00FB586E" w:rsidRDefault="00015B8F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18BE" w14:textId="77777777" w:rsidR="00015B8F" w:rsidRPr="00FB586E" w:rsidRDefault="007C32C6" w:rsidP="00714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D3C607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1DFB51D" w14:textId="77777777" w:rsidR="00923D7D" w:rsidRPr="00FB586E" w:rsidRDefault="00923D7D" w:rsidP="00714AC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341624" w14:textId="7903FF60" w:rsidR="0085747A" w:rsidRDefault="0085747A" w:rsidP="00714AC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>1.</w:t>
      </w:r>
      <w:r w:rsidR="00E22FBC" w:rsidRPr="00FB586E">
        <w:rPr>
          <w:rFonts w:ascii="Corbel" w:hAnsi="Corbel"/>
          <w:smallCaps w:val="0"/>
          <w:szCs w:val="24"/>
        </w:rPr>
        <w:t>2</w:t>
      </w:r>
      <w:r w:rsidR="00F83B28" w:rsidRPr="00FB586E">
        <w:rPr>
          <w:rFonts w:ascii="Corbel" w:hAnsi="Corbel"/>
          <w:smallCaps w:val="0"/>
          <w:szCs w:val="24"/>
        </w:rPr>
        <w:t>.</w:t>
      </w:r>
      <w:r w:rsidR="00F83B28" w:rsidRPr="00FB586E">
        <w:rPr>
          <w:rFonts w:ascii="Corbel" w:hAnsi="Corbel"/>
          <w:smallCaps w:val="0"/>
          <w:szCs w:val="24"/>
        </w:rPr>
        <w:tab/>
      </w:r>
      <w:r w:rsidRPr="00FB586E">
        <w:rPr>
          <w:rFonts w:ascii="Corbel" w:hAnsi="Corbel"/>
          <w:smallCaps w:val="0"/>
          <w:szCs w:val="24"/>
        </w:rPr>
        <w:t>Sposób realizacji zajęć</w:t>
      </w:r>
    </w:p>
    <w:p w14:paraId="39D68492" w14:textId="77777777" w:rsidR="00714AC1" w:rsidRPr="00FB586E" w:rsidRDefault="00714AC1" w:rsidP="00714AC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F423F9E" w14:textId="45F0D557" w:rsidR="0085747A" w:rsidRPr="00FB586E" w:rsidRDefault="0088696F" w:rsidP="00714AC1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Segoe UI Symbol" w:eastAsia="MS Gothic" w:hAnsi="Segoe UI Symbol" w:cs="Segoe UI Symbol"/>
          <w:b w:val="0"/>
        </w:rPr>
        <w:t xml:space="preserve">   </w:t>
      </w:r>
      <w:r w:rsidR="5333729C" w:rsidRPr="2D3C6070">
        <w:rPr>
          <w:rFonts w:ascii="Segoe UI Symbol" w:eastAsia="MS Gothic" w:hAnsi="Segoe UI Symbol" w:cs="Segoe UI Symbol"/>
          <w:b w:val="0"/>
        </w:rPr>
        <w:t xml:space="preserve"> </w:t>
      </w:r>
      <w:r w:rsidR="0085747A" w:rsidRPr="2D3C6070">
        <w:rPr>
          <w:rFonts w:ascii="Corbel" w:hAnsi="Corbel"/>
          <w:b w:val="0"/>
          <w:smallCaps w:val="0"/>
        </w:rPr>
        <w:t xml:space="preserve">zajęcia w formie tradycyjnej </w:t>
      </w:r>
    </w:p>
    <w:p w14:paraId="4B8F5063" w14:textId="3ADB4A3A" w:rsidR="0085747A" w:rsidRPr="00FB586E" w:rsidRDefault="4E904DA3" w:rsidP="00714AC1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D3C6070">
        <w:rPr>
          <w:rFonts w:ascii="Segoe UI Symbol" w:eastAsia="MS Gothic" w:hAnsi="Segoe UI Symbol" w:cs="Segoe UI Symbol"/>
          <w:b w:val="0"/>
        </w:rPr>
        <w:t xml:space="preserve">X </w:t>
      </w:r>
      <w:r w:rsidR="0085747A" w:rsidRPr="2D3C6070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540BC473" w14:textId="77777777" w:rsidR="0085747A" w:rsidRPr="00FB586E" w:rsidRDefault="0085747A" w:rsidP="00714AC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7C4B7D" w14:textId="64B6CEFC" w:rsidR="00E22FBC" w:rsidRPr="00FB586E" w:rsidRDefault="00E22FBC" w:rsidP="00714AC1">
      <w:pPr>
        <w:pStyle w:val="Punktygwne"/>
        <w:tabs>
          <w:tab w:val="left" w:pos="709"/>
        </w:tabs>
        <w:spacing w:before="0" w:after="0"/>
        <w:ind w:left="709" w:right="-143" w:hanging="425"/>
        <w:rPr>
          <w:rFonts w:ascii="Corbel" w:hAnsi="Corbel"/>
          <w:smallCaps w:val="0"/>
        </w:rPr>
      </w:pPr>
      <w:r w:rsidRPr="2D3C6070">
        <w:rPr>
          <w:rFonts w:ascii="Corbel" w:hAnsi="Corbel"/>
          <w:smallCaps w:val="0"/>
        </w:rPr>
        <w:t>1.3</w:t>
      </w:r>
      <w:r w:rsidR="00714AC1">
        <w:rPr>
          <w:rFonts w:ascii="Corbel" w:hAnsi="Corbel"/>
          <w:smallCaps w:val="0"/>
        </w:rPr>
        <w:t>.</w:t>
      </w:r>
      <w:r w:rsidRPr="2D3C6070">
        <w:rPr>
          <w:rFonts w:ascii="Corbel" w:hAnsi="Corbel"/>
          <w:smallCaps w:val="0"/>
        </w:rPr>
        <w:t xml:space="preserve"> For</w:t>
      </w:r>
      <w:r w:rsidR="00445970" w:rsidRPr="2D3C6070">
        <w:rPr>
          <w:rFonts w:ascii="Corbel" w:hAnsi="Corbel"/>
          <w:smallCaps w:val="0"/>
        </w:rPr>
        <w:t xml:space="preserve">ma zaliczenia przedmiotu </w:t>
      </w:r>
      <w:r w:rsidRPr="2D3C6070">
        <w:rPr>
          <w:rFonts w:ascii="Corbel" w:hAnsi="Corbel"/>
          <w:smallCaps w:val="0"/>
        </w:rPr>
        <w:t xml:space="preserve">(z toku) </w:t>
      </w:r>
      <w:r w:rsidRPr="2D3C6070">
        <w:rPr>
          <w:rFonts w:ascii="Corbel" w:hAnsi="Corbel"/>
          <w:b w:val="0"/>
          <w:smallCaps w:val="0"/>
        </w:rPr>
        <w:t>(</w:t>
      </w:r>
      <w:r w:rsidRPr="2D3C6070">
        <w:rPr>
          <w:rFonts w:ascii="Corbel" w:hAnsi="Corbel"/>
          <w:smallCaps w:val="0"/>
          <w:u w:val="single"/>
        </w:rPr>
        <w:t>egzamin,</w:t>
      </w:r>
      <w:r w:rsidRPr="0088696F">
        <w:rPr>
          <w:rFonts w:ascii="Corbel" w:hAnsi="Corbel"/>
          <w:b w:val="0"/>
          <w:bCs/>
          <w:smallCaps w:val="0"/>
        </w:rPr>
        <w:t xml:space="preserve"> zaliczenie z oceną, </w:t>
      </w:r>
      <w:r w:rsidRPr="2D3C6070">
        <w:rPr>
          <w:rFonts w:ascii="Corbel" w:hAnsi="Corbel"/>
          <w:b w:val="0"/>
          <w:smallCaps w:val="0"/>
        </w:rPr>
        <w:t>zaliczenie bez oceny)</w:t>
      </w:r>
    </w:p>
    <w:p w14:paraId="00FDA7AF" w14:textId="2B8004AC" w:rsidR="2D3C6070" w:rsidRDefault="2D3C6070" w:rsidP="00714AC1">
      <w:pPr>
        <w:pStyle w:val="Punktygwne"/>
        <w:spacing w:before="0" w:after="0"/>
        <w:rPr>
          <w:rFonts w:ascii="Corbel" w:hAnsi="Corbel"/>
          <w:b w:val="0"/>
        </w:rPr>
      </w:pPr>
    </w:p>
    <w:p w14:paraId="5568E0D6" w14:textId="6D89DB58" w:rsidR="009C54AE" w:rsidRPr="00714AC1" w:rsidRDefault="00714AC1" w:rsidP="00714A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e</w:t>
      </w:r>
      <w:r w:rsidR="00D05E3E" w:rsidRPr="00714AC1">
        <w:rPr>
          <w:rFonts w:ascii="Corbel" w:hAnsi="Corbel"/>
          <w:b w:val="0"/>
          <w:smallCaps w:val="0"/>
          <w:szCs w:val="24"/>
        </w:rPr>
        <w:t>gzamin</w:t>
      </w:r>
      <w:r w:rsidR="00997E98" w:rsidRPr="00714AC1">
        <w:rPr>
          <w:rFonts w:ascii="Corbel" w:hAnsi="Corbel"/>
          <w:b w:val="0"/>
          <w:smallCaps w:val="0"/>
          <w:szCs w:val="24"/>
        </w:rPr>
        <w:t xml:space="preserve"> pisemny lub ustny;</w:t>
      </w:r>
    </w:p>
    <w:p w14:paraId="3DD5C860" w14:textId="548DFBAD" w:rsidR="2D3C6070" w:rsidRDefault="2D3C6070" w:rsidP="00714AC1">
      <w:pPr>
        <w:spacing w:after="0" w:line="240" w:lineRule="auto"/>
      </w:pPr>
    </w:p>
    <w:p w14:paraId="43CBF0C1" w14:textId="65FD0A4A" w:rsidR="00E960BB" w:rsidRPr="00FB586E" w:rsidRDefault="0085747A" w:rsidP="00714AC1">
      <w:pPr>
        <w:pStyle w:val="Punktygwne"/>
        <w:spacing w:before="0" w:after="0"/>
        <w:rPr>
          <w:rFonts w:ascii="Corbel" w:hAnsi="Corbel"/>
          <w:szCs w:val="24"/>
        </w:rPr>
      </w:pPr>
      <w:r w:rsidRPr="2D3C6070">
        <w:rPr>
          <w:rFonts w:ascii="Corbel" w:hAnsi="Corbel"/>
        </w:rPr>
        <w:t>2.</w:t>
      </w:r>
      <w:r w:rsidR="00714AC1">
        <w:rPr>
          <w:rFonts w:ascii="Corbel" w:hAnsi="Corbel"/>
        </w:rPr>
        <w:t xml:space="preserve"> </w:t>
      </w:r>
      <w:r w:rsidRPr="2D3C6070">
        <w:rPr>
          <w:rFonts w:ascii="Corbel" w:hAnsi="Corbel"/>
        </w:rPr>
        <w:t xml:space="preserve">Wymagania wstępne </w:t>
      </w:r>
    </w:p>
    <w:p w14:paraId="289C15B5" w14:textId="4845F8FF" w:rsidR="2D3C6070" w:rsidRDefault="2D3C6070" w:rsidP="00714AC1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B586E" w14:paraId="09DCACF1" w14:textId="77777777" w:rsidTr="00745302">
        <w:tc>
          <w:tcPr>
            <w:tcW w:w="9670" w:type="dxa"/>
          </w:tcPr>
          <w:p w14:paraId="01E002EB" w14:textId="77777777" w:rsidR="0085747A" w:rsidRPr="00FB586E" w:rsidRDefault="007C32C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prawa finansowego.</w:t>
            </w:r>
          </w:p>
        </w:tc>
      </w:tr>
    </w:tbl>
    <w:p w14:paraId="3310C19A" w14:textId="77777777" w:rsidR="00714AC1" w:rsidRDefault="00714AC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A61F370" w14:textId="0677CDF6" w:rsidR="0085747A" w:rsidRPr="00FB586E" w:rsidRDefault="0071620A" w:rsidP="00714AC1">
      <w:pPr>
        <w:pStyle w:val="Punktygwne"/>
        <w:spacing w:before="0" w:after="0"/>
        <w:rPr>
          <w:rFonts w:ascii="Corbel" w:hAnsi="Corbel"/>
        </w:rPr>
      </w:pPr>
      <w:r w:rsidRPr="2D3C6070">
        <w:rPr>
          <w:rFonts w:ascii="Corbel" w:hAnsi="Corbel"/>
        </w:rPr>
        <w:lastRenderedPageBreak/>
        <w:t>3.</w:t>
      </w:r>
      <w:r w:rsidR="0085747A" w:rsidRPr="2D3C6070">
        <w:rPr>
          <w:rFonts w:ascii="Corbel" w:hAnsi="Corbel"/>
        </w:rPr>
        <w:t xml:space="preserve"> </w:t>
      </w:r>
      <w:r w:rsidR="00A84C85" w:rsidRPr="2D3C6070">
        <w:rPr>
          <w:rFonts w:ascii="Corbel" w:hAnsi="Corbel"/>
        </w:rPr>
        <w:t>cele, efekty uczenia się</w:t>
      </w:r>
      <w:r w:rsidR="0085747A" w:rsidRPr="2D3C6070">
        <w:rPr>
          <w:rFonts w:ascii="Corbel" w:hAnsi="Corbel"/>
        </w:rPr>
        <w:t>, treści Programowe i stosowane metody Dydaktyczne</w:t>
      </w:r>
    </w:p>
    <w:p w14:paraId="5AC4EE2C" w14:textId="77777777" w:rsidR="0085747A" w:rsidRPr="00FB586E" w:rsidRDefault="0085747A" w:rsidP="00714AC1">
      <w:pPr>
        <w:pStyle w:val="Punktygwne"/>
        <w:spacing w:before="0" w:after="0"/>
        <w:rPr>
          <w:rFonts w:ascii="Corbel" w:hAnsi="Corbel"/>
          <w:szCs w:val="24"/>
        </w:rPr>
      </w:pPr>
    </w:p>
    <w:p w14:paraId="4FF1E9B2" w14:textId="0F41B591" w:rsidR="0085747A" w:rsidRPr="00FB586E" w:rsidRDefault="0071620A" w:rsidP="00714AC1">
      <w:pPr>
        <w:pStyle w:val="Podpunkty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sz w:val="24"/>
          <w:szCs w:val="24"/>
        </w:rPr>
        <w:t>3.1</w:t>
      </w:r>
      <w:r w:rsidR="00714AC1">
        <w:rPr>
          <w:rFonts w:ascii="Corbel" w:hAnsi="Corbel"/>
          <w:sz w:val="24"/>
          <w:szCs w:val="24"/>
        </w:rPr>
        <w:t>.</w:t>
      </w:r>
      <w:r w:rsidRPr="00FB586E">
        <w:rPr>
          <w:rFonts w:ascii="Corbel" w:hAnsi="Corbel"/>
          <w:sz w:val="24"/>
          <w:szCs w:val="24"/>
        </w:rPr>
        <w:t xml:space="preserve"> </w:t>
      </w:r>
      <w:r w:rsidR="00C05F44" w:rsidRPr="00FB586E">
        <w:rPr>
          <w:rFonts w:ascii="Corbel" w:hAnsi="Corbel"/>
          <w:sz w:val="24"/>
          <w:szCs w:val="24"/>
        </w:rPr>
        <w:t>Cele przedmiotu</w:t>
      </w:r>
    </w:p>
    <w:p w14:paraId="0E9F3818" w14:textId="77777777" w:rsidR="00F83B28" w:rsidRPr="00714AC1" w:rsidRDefault="00F83B28" w:rsidP="00714AC1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05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8838"/>
      </w:tblGrid>
      <w:tr w:rsidR="007C32C6" w:rsidRPr="00FB586E" w14:paraId="0AAD7F30" w14:textId="77777777" w:rsidTr="00714AC1">
        <w:tc>
          <w:tcPr>
            <w:tcW w:w="667" w:type="dxa"/>
            <w:vAlign w:val="center"/>
          </w:tcPr>
          <w:p w14:paraId="0D37AFD0" w14:textId="336E2487" w:rsidR="007C32C6" w:rsidRPr="00FB586E" w:rsidRDefault="007C32C6" w:rsidP="00714AC1">
            <w:pPr>
              <w:pStyle w:val="Podpunkty"/>
              <w:spacing w:before="40" w:after="40"/>
              <w:ind w:left="-133" w:right="-319" w:hanging="83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B586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38" w:type="dxa"/>
            <w:vAlign w:val="center"/>
          </w:tcPr>
          <w:p w14:paraId="2C606FCB" w14:textId="1FF58179" w:rsidR="007C32C6" w:rsidRPr="00FB586E" w:rsidRDefault="007C32C6" w:rsidP="00714AC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D3C6070">
              <w:rPr>
                <w:rFonts w:ascii="Corbel" w:hAnsi="Corbel"/>
                <w:b w:val="0"/>
                <w:sz w:val="24"/>
                <w:szCs w:val="24"/>
              </w:rPr>
              <w:t xml:space="preserve">Celem wykładu jest przedstawienie ewolucji oraz aktualnego stanu prawa </w:t>
            </w:r>
            <w:r w:rsidR="00165338" w:rsidRPr="2D3C6070">
              <w:rPr>
                <w:rFonts w:ascii="Corbel" w:hAnsi="Corbel"/>
                <w:b w:val="0"/>
                <w:sz w:val="24"/>
                <w:szCs w:val="24"/>
              </w:rPr>
              <w:t xml:space="preserve">w zakresie prawnych aspektów finansowania projektów realizowanych przez samorządy terytorialne a finansowanych ze środków Unii Europejskiej. </w:t>
            </w:r>
            <w:r w:rsidRPr="2D3C6070">
              <w:rPr>
                <w:rFonts w:ascii="Corbel" w:hAnsi="Corbel"/>
                <w:b w:val="0"/>
                <w:sz w:val="24"/>
                <w:szCs w:val="24"/>
              </w:rPr>
              <w:t xml:space="preserve">Szczególny nacisk położony jest na zapoznanie studentów z pojęciem oraz źródłami prawa </w:t>
            </w:r>
            <w:r w:rsidR="00165338" w:rsidRPr="2D3C6070">
              <w:rPr>
                <w:rFonts w:ascii="Corbel" w:hAnsi="Corbel"/>
                <w:b w:val="0"/>
                <w:sz w:val="24"/>
                <w:szCs w:val="24"/>
              </w:rPr>
              <w:t>związanego z finansowaniem projektów</w:t>
            </w:r>
            <w:r w:rsidRPr="2D3C6070">
              <w:rPr>
                <w:rFonts w:ascii="Corbel" w:hAnsi="Corbel"/>
                <w:b w:val="0"/>
                <w:sz w:val="24"/>
                <w:szCs w:val="24"/>
              </w:rPr>
              <w:t xml:space="preserve">, problematyką </w:t>
            </w:r>
            <w:r w:rsidR="00165338" w:rsidRPr="2D3C6070">
              <w:rPr>
                <w:rFonts w:ascii="Corbel" w:hAnsi="Corbel"/>
                <w:b w:val="0"/>
                <w:sz w:val="24"/>
                <w:szCs w:val="24"/>
              </w:rPr>
              <w:t>realizacji przez samorząd projektów objętych współfinansowaniem ze środków</w:t>
            </w:r>
            <w:r w:rsidRPr="2D3C6070">
              <w:rPr>
                <w:rFonts w:ascii="Corbel" w:hAnsi="Corbel"/>
                <w:b w:val="0"/>
                <w:sz w:val="24"/>
                <w:szCs w:val="24"/>
              </w:rPr>
              <w:t xml:space="preserve"> Unii Europejskiej. Studentom zaprezentowane zostaną również informacje odnoszące się do metod dostosowania </w:t>
            </w:r>
            <w:r w:rsidR="00165338" w:rsidRPr="2D3C6070">
              <w:rPr>
                <w:rFonts w:ascii="Corbel" w:hAnsi="Corbel"/>
                <w:b w:val="0"/>
                <w:sz w:val="24"/>
                <w:szCs w:val="24"/>
              </w:rPr>
              <w:t xml:space="preserve">przepisów </w:t>
            </w:r>
            <w:r w:rsidRPr="2D3C6070">
              <w:rPr>
                <w:rFonts w:ascii="Corbel" w:hAnsi="Corbel"/>
                <w:b w:val="0"/>
                <w:sz w:val="24"/>
                <w:szCs w:val="24"/>
              </w:rPr>
              <w:t>do standardów UE.</w:t>
            </w:r>
          </w:p>
        </w:tc>
      </w:tr>
    </w:tbl>
    <w:p w14:paraId="3CF51002" w14:textId="77777777" w:rsidR="007C32C6" w:rsidRPr="00FB586E" w:rsidRDefault="007C32C6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p w14:paraId="2073DFB7" w14:textId="1F8371E5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b/>
          <w:sz w:val="24"/>
          <w:szCs w:val="24"/>
        </w:rPr>
        <w:t xml:space="preserve">3.2 </w:t>
      </w:r>
      <w:r w:rsidR="001D7B54" w:rsidRPr="00FB586E">
        <w:rPr>
          <w:rFonts w:ascii="Corbel" w:hAnsi="Corbel"/>
          <w:b/>
          <w:sz w:val="24"/>
          <w:szCs w:val="24"/>
        </w:rPr>
        <w:t xml:space="preserve">Efekty </w:t>
      </w:r>
      <w:r w:rsidR="00C05F44" w:rsidRPr="00FB586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B586E">
        <w:rPr>
          <w:rFonts w:ascii="Corbel" w:hAnsi="Corbel"/>
          <w:b/>
          <w:sz w:val="24"/>
          <w:szCs w:val="24"/>
        </w:rPr>
        <w:t>dla przedmiotu</w:t>
      </w:r>
      <w:r w:rsidR="00445970" w:rsidRPr="00FB586E">
        <w:rPr>
          <w:rFonts w:ascii="Corbel" w:hAnsi="Corbel"/>
          <w:sz w:val="24"/>
          <w:szCs w:val="24"/>
        </w:rPr>
        <w:t xml:space="preserve"> </w:t>
      </w:r>
    </w:p>
    <w:p w14:paraId="185A31CB" w14:textId="77777777" w:rsidR="001D7B54" w:rsidRPr="00FB586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9"/>
        <w:gridCol w:w="6119"/>
        <w:gridCol w:w="1822"/>
      </w:tblGrid>
      <w:tr w:rsidR="0085747A" w:rsidRPr="00FB586E" w14:paraId="3781FEC8" w14:textId="77777777" w:rsidTr="00714AC1">
        <w:tc>
          <w:tcPr>
            <w:tcW w:w="1579" w:type="dxa"/>
            <w:vAlign w:val="center"/>
          </w:tcPr>
          <w:p w14:paraId="57350911" w14:textId="77777777" w:rsidR="0085747A" w:rsidRPr="00FB586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B586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B586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19" w:type="dxa"/>
            <w:vAlign w:val="center"/>
          </w:tcPr>
          <w:p w14:paraId="28A9C697" w14:textId="77777777" w:rsidR="0085747A" w:rsidRPr="00FB586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22" w:type="dxa"/>
            <w:vAlign w:val="center"/>
          </w:tcPr>
          <w:p w14:paraId="14345A89" w14:textId="6CDA5342" w:rsidR="0085747A" w:rsidRPr="00FB586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FB58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57AD" w:rsidRPr="00FB586E" w14:paraId="76403479" w14:textId="77777777" w:rsidTr="00714AC1">
        <w:tc>
          <w:tcPr>
            <w:tcW w:w="1579" w:type="dxa"/>
          </w:tcPr>
          <w:p w14:paraId="1117FD4D" w14:textId="77777777" w:rsidR="009457AD" w:rsidRPr="00FB586E" w:rsidRDefault="009457AD" w:rsidP="00945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119" w:type="dxa"/>
          </w:tcPr>
          <w:p w14:paraId="605D20C1" w14:textId="5F5FCF4B" w:rsidR="009457AD" w:rsidRPr="00D47BDE" w:rsidRDefault="18BEA389" w:rsidP="00714AC1">
            <w:pPr>
              <w:pStyle w:val="TableParagraph"/>
              <w:ind w:left="-34" w:right="100"/>
              <w:rPr>
                <w:b/>
                <w:smallCaps/>
                <w:szCs w:val="24"/>
              </w:rPr>
            </w:pPr>
            <w:r w:rsidRPr="2FC3B46E">
              <w:rPr>
                <w:rFonts w:eastAsia="Calibri" w:cs="Times New Roman"/>
                <w:sz w:val="24"/>
                <w:szCs w:val="24"/>
              </w:rPr>
              <w:t>W</w:t>
            </w:r>
            <w:r w:rsidR="56720696" w:rsidRPr="2FC3B46E">
              <w:rPr>
                <w:rFonts w:eastAsia="Calibri" w:cs="Times New Roman"/>
                <w:sz w:val="24"/>
                <w:szCs w:val="24"/>
              </w:rPr>
              <w:t>ykazuje się szczegółową wiedzą na temat struktur, instytucji i zasad działania organów administracji publicznej (krajowych, międzynarodowych i unijnych) i podmiotów administrujących, ich genezy i ewolucji oraz</w:t>
            </w:r>
            <w:r w:rsidR="00714AC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D47BDE" w:rsidRPr="00D47BDE">
              <w:rPr>
                <w:szCs w:val="24"/>
              </w:rPr>
              <w:t>wykonywanych przez nie zadań;</w:t>
            </w:r>
          </w:p>
        </w:tc>
        <w:tc>
          <w:tcPr>
            <w:tcW w:w="1822" w:type="dxa"/>
          </w:tcPr>
          <w:p w14:paraId="6FBE6546" w14:textId="0F006F17" w:rsidR="009457AD" w:rsidRPr="00FB586E" w:rsidRDefault="009457AD" w:rsidP="00714AC1">
            <w:pPr>
              <w:pStyle w:val="Punktygwne"/>
              <w:spacing w:before="0" w:after="0"/>
              <w:ind w:left="-3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="009457AD" w:rsidRPr="00FB586E" w14:paraId="4951E7D5" w14:textId="77777777" w:rsidTr="00714AC1">
        <w:tc>
          <w:tcPr>
            <w:tcW w:w="1579" w:type="dxa"/>
          </w:tcPr>
          <w:p w14:paraId="182A0484" w14:textId="77777777" w:rsidR="009457AD" w:rsidRPr="00FB586E" w:rsidRDefault="009457AD" w:rsidP="00945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19" w:type="dxa"/>
          </w:tcPr>
          <w:p w14:paraId="1EFBE77D" w14:textId="79A05120" w:rsidR="009457AD" w:rsidRPr="00793155" w:rsidRDefault="00D47BDE" w:rsidP="00714AC1">
            <w:pPr>
              <w:pStyle w:val="TableParagraph"/>
              <w:ind w:left="-34" w:right="98"/>
              <w:rPr>
                <w:rFonts w:eastAsia="Calibri" w:cs="Times New Roman"/>
                <w:sz w:val="24"/>
                <w:szCs w:val="24"/>
              </w:rPr>
            </w:pPr>
            <w:r w:rsidRPr="00D47BDE">
              <w:rPr>
                <w:rFonts w:eastAsia="Calibri" w:cs="Times New Roman"/>
                <w:sz w:val="24"/>
                <w:szCs w:val="24"/>
              </w:rPr>
              <w:t xml:space="preserve">Zna w stopniu zaawansowanym ogólne zasady tworzenia </w:t>
            </w:r>
            <w:r w:rsidR="00714AC1">
              <w:rPr>
                <w:rFonts w:eastAsia="Calibri" w:cs="Times New Roman"/>
                <w:sz w:val="24"/>
                <w:szCs w:val="24"/>
              </w:rPr>
              <w:br/>
            </w:r>
            <w:r w:rsidRPr="00D47BDE">
              <w:rPr>
                <w:rFonts w:eastAsia="Calibri" w:cs="Times New Roman"/>
                <w:sz w:val="24"/>
                <w:szCs w:val="24"/>
              </w:rPr>
              <w:t>i rozwoju form indywidualnej przedsiębiorczości, wykorzystującej wiedzę z zakresu dziedzin nauki i dyscyplin naukowych właściwych dla kierunku</w:t>
            </w:r>
            <w:r w:rsidR="0079315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793155">
              <w:rPr>
                <w:rFonts w:eastAsia="Calibri" w:cs="Times New Roman"/>
                <w:sz w:val="24"/>
                <w:szCs w:val="24"/>
              </w:rPr>
              <w:t>administracja;</w:t>
            </w:r>
          </w:p>
        </w:tc>
        <w:tc>
          <w:tcPr>
            <w:tcW w:w="1822" w:type="dxa"/>
          </w:tcPr>
          <w:p w14:paraId="40EC6E57" w14:textId="40CC69CD" w:rsidR="009457AD" w:rsidRPr="00FB586E" w:rsidRDefault="009457AD" w:rsidP="00714AC1">
            <w:pPr>
              <w:pStyle w:val="Punktygwne"/>
              <w:spacing w:before="0" w:after="0"/>
              <w:ind w:left="-3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9</w:t>
            </w:r>
          </w:p>
        </w:tc>
      </w:tr>
      <w:tr w:rsidR="009457AD" w:rsidRPr="00FB586E" w14:paraId="4DC97AC9" w14:textId="77777777" w:rsidTr="00714AC1">
        <w:tc>
          <w:tcPr>
            <w:tcW w:w="1579" w:type="dxa"/>
          </w:tcPr>
          <w:p w14:paraId="0A9DF44C" w14:textId="4CBAA2F0" w:rsidR="009457AD" w:rsidRPr="00FB586E" w:rsidRDefault="009457AD" w:rsidP="00945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BD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119" w:type="dxa"/>
          </w:tcPr>
          <w:p w14:paraId="68B1B9F6" w14:textId="1FD790FC" w:rsidR="009457AD" w:rsidRPr="00D47BDE" w:rsidRDefault="00D47BDE" w:rsidP="00714AC1">
            <w:pPr>
              <w:pStyle w:val="Default"/>
              <w:ind w:left="-34"/>
              <w:rPr>
                <w:rFonts w:ascii="Corbel" w:hAnsi="Corbel" w:cs="Times New Roman"/>
                <w:color w:val="auto"/>
              </w:rPr>
            </w:pPr>
            <w:r w:rsidRPr="00D47BDE">
              <w:rPr>
                <w:rFonts w:ascii="Corbel" w:hAnsi="Corbel" w:cs="Times New Roman"/>
                <w:color w:val="auto"/>
              </w:rPr>
              <w:t>Wykazuje się specjalistycznymi umiejętnościami znajdowania podstaw prawnych, orzecznictwa i literatury dotyczącej badanych zagadnień oraz stosowania zasad etycznych, jak również samodzielnego proponowania rozwiązań konkretnego problemu i podejmowania rozstrzygnięć;</w:t>
            </w:r>
          </w:p>
        </w:tc>
        <w:tc>
          <w:tcPr>
            <w:tcW w:w="1822" w:type="dxa"/>
          </w:tcPr>
          <w:p w14:paraId="0537EE9C" w14:textId="3C6FD8C5" w:rsidR="009457AD" w:rsidRPr="00FB586E" w:rsidRDefault="009457AD" w:rsidP="00714AC1">
            <w:pPr>
              <w:pStyle w:val="Punktygwne"/>
              <w:spacing w:before="0" w:after="0"/>
              <w:ind w:left="-34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</w:tr>
      <w:tr w:rsidR="009457AD" w:rsidRPr="00FB586E" w14:paraId="5166EB14" w14:textId="77777777" w:rsidTr="00714AC1">
        <w:tc>
          <w:tcPr>
            <w:tcW w:w="1579" w:type="dxa"/>
          </w:tcPr>
          <w:p w14:paraId="45785FFD" w14:textId="21F89173" w:rsidR="009457AD" w:rsidRPr="00FB586E" w:rsidRDefault="009457AD" w:rsidP="00945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B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119" w:type="dxa"/>
          </w:tcPr>
          <w:p w14:paraId="36074720" w14:textId="5DA5D7DE" w:rsidR="009457AD" w:rsidRPr="00D47BDE" w:rsidRDefault="00D47BDE" w:rsidP="00714AC1">
            <w:pPr>
              <w:pStyle w:val="TableParagraph"/>
              <w:ind w:left="-34" w:right="98"/>
              <w:rPr>
                <w:rFonts w:cs="Times New Roman"/>
              </w:rPr>
            </w:pPr>
            <w:r w:rsidRPr="00D47BDE">
              <w:rPr>
                <w:rFonts w:eastAsia="Calibri" w:cs="Times New Roman"/>
                <w:sz w:val="24"/>
                <w:szCs w:val="24"/>
              </w:rPr>
              <w:t>Posiada umiejętność tworzenia dokumentów prawnych, umów oraz projektów aktów stosowania prawa, wraz z ich uzasadnieniem oraz jest w stanie wskazać</w:t>
            </w:r>
            <w:r w:rsidR="00714AC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D47BDE">
              <w:rPr>
                <w:rFonts w:cs="Times New Roman"/>
              </w:rPr>
              <w:t>konsekwencje projektowanego aktu;</w:t>
            </w:r>
          </w:p>
        </w:tc>
        <w:tc>
          <w:tcPr>
            <w:tcW w:w="1822" w:type="dxa"/>
          </w:tcPr>
          <w:p w14:paraId="504064C6" w14:textId="726A9C5F" w:rsidR="009457AD" w:rsidRPr="00FB586E" w:rsidRDefault="009457AD" w:rsidP="00714AC1">
            <w:pPr>
              <w:pStyle w:val="Punktygwne"/>
              <w:spacing w:before="0" w:after="0"/>
              <w:ind w:left="-34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="009457AD" w:rsidRPr="00FB586E" w14:paraId="052CB1C6" w14:textId="77777777" w:rsidTr="00714AC1">
        <w:tc>
          <w:tcPr>
            <w:tcW w:w="1579" w:type="dxa"/>
          </w:tcPr>
          <w:p w14:paraId="74552E5C" w14:textId="45E08D30" w:rsidR="009457AD" w:rsidRPr="00FB586E" w:rsidRDefault="009457AD" w:rsidP="00945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BD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119" w:type="dxa"/>
          </w:tcPr>
          <w:p w14:paraId="02E0864C" w14:textId="36CEB958" w:rsidR="009457AD" w:rsidRPr="00D47BDE" w:rsidRDefault="00D47BDE" w:rsidP="00714AC1">
            <w:pPr>
              <w:pStyle w:val="TableParagraph"/>
              <w:ind w:left="-34" w:right="97"/>
              <w:rPr>
                <w:rFonts w:cs="Times New Roman"/>
              </w:rPr>
            </w:pPr>
            <w:r w:rsidRPr="00D47BDE">
              <w:rPr>
                <w:rFonts w:eastAsia="Calibri" w:cs="Times New Roman"/>
                <w:sz w:val="24"/>
                <w:szCs w:val="24"/>
              </w:rPr>
              <w:t xml:space="preserve">Posiada umiejętność prowadzenia debaty, przygotowania prac pisemnych, prezentacji </w:t>
            </w:r>
            <w:proofErr w:type="gramStart"/>
            <w:r w:rsidRPr="00D47BDE">
              <w:rPr>
                <w:rFonts w:eastAsia="Calibri" w:cs="Times New Roman"/>
                <w:sz w:val="24"/>
                <w:szCs w:val="24"/>
              </w:rPr>
              <w:t>multimedialnych,</w:t>
            </w:r>
            <w:proofErr w:type="gramEnd"/>
            <w:r w:rsidRPr="00D47BDE">
              <w:rPr>
                <w:rFonts w:eastAsia="Calibri" w:cs="Times New Roman"/>
                <w:sz w:val="24"/>
                <w:szCs w:val="24"/>
              </w:rPr>
              <w:t xml:space="preserve"> oraz ustnych wystąpień w języku polskim w zakresie dziedzin </w:t>
            </w:r>
            <w:r w:rsidR="00714AC1">
              <w:rPr>
                <w:rFonts w:eastAsia="Calibri" w:cs="Times New Roman"/>
                <w:sz w:val="24"/>
                <w:szCs w:val="24"/>
              </w:rPr>
              <w:br/>
            </w:r>
            <w:r w:rsidR="00714AC1" w:rsidRPr="00D47BDE">
              <w:rPr>
                <w:rFonts w:eastAsia="Calibri" w:cs="Times New Roman"/>
                <w:sz w:val="24"/>
                <w:szCs w:val="24"/>
              </w:rPr>
              <w:t>i dyscyplin</w:t>
            </w:r>
            <w:r w:rsidRPr="00D47BDE">
              <w:rPr>
                <w:rFonts w:eastAsia="Calibri" w:cs="Times New Roman"/>
                <w:sz w:val="24"/>
                <w:szCs w:val="24"/>
              </w:rPr>
              <w:t xml:space="preserve"> naukowych wykładanych w ramach kierunku Administracja dotyczących zagadnień szczegółowych, z wykorzystaniem poglądów doktryny, źródeł prawa oraz orzecznictwa sądowego i administracyjnego, a także</w:t>
            </w:r>
            <w:r w:rsidR="00714AC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D47BDE">
              <w:rPr>
                <w:rFonts w:cs="Times New Roman"/>
              </w:rPr>
              <w:t>danych statystycznych;</w:t>
            </w:r>
          </w:p>
        </w:tc>
        <w:tc>
          <w:tcPr>
            <w:tcW w:w="1822" w:type="dxa"/>
          </w:tcPr>
          <w:p w14:paraId="7A8CC349" w14:textId="59018D05" w:rsidR="009457AD" w:rsidRPr="00FB586E" w:rsidRDefault="009457AD" w:rsidP="00714AC1">
            <w:pPr>
              <w:pStyle w:val="Punktygwne"/>
              <w:spacing w:before="0" w:after="0"/>
              <w:ind w:left="-34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</w:tbl>
    <w:p w14:paraId="7FB8B2E9" w14:textId="77777777" w:rsidR="00714AC1" w:rsidRDefault="00714AC1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9"/>
        <w:gridCol w:w="6119"/>
        <w:gridCol w:w="1822"/>
      </w:tblGrid>
      <w:tr w:rsidR="009457AD" w:rsidRPr="00FB586E" w14:paraId="6B98CB11" w14:textId="77777777" w:rsidTr="00714AC1">
        <w:tc>
          <w:tcPr>
            <w:tcW w:w="1579" w:type="dxa"/>
          </w:tcPr>
          <w:p w14:paraId="1EACB2DA" w14:textId="33A94494" w:rsidR="009457AD" w:rsidRPr="00FB586E" w:rsidRDefault="009457AD" w:rsidP="00945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D47BD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119" w:type="dxa"/>
          </w:tcPr>
          <w:p w14:paraId="62561854" w14:textId="6BB489FB" w:rsidR="009457AD" w:rsidRPr="00D47BDE" w:rsidRDefault="00D47BDE" w:rsidP="00714AC1">
            <w:pPr>
              <w:pStyle w:val="Default"/>
              <w:ind w:left="-34"/>
              <w:rPr>
                <w:rFonts w:ascii="Corbel" w:hAnsi="Corbel" w:cs="Times New Roman"/>
                <w:color w:val="auto"/>
              </w:rPr>
            </w:pPr>
            <w:r w:rsidRPr="00D47BDE">
              <w:rPr>
                <w:rFonts w:ascii="Corbel" w:hAnsi="Corbel" w:cs="Times New Roman"/>
                <w:color w:val="auto"/>
              </w:rPr>
              <w:t xml:space="preserve">Uczestniczy w przygotowaniu projektów, z uwzględnieniem wiedzy i umiejętności zdobytych w trakcie studiów oraz jest gotowy działać na rzecz społeczeństwa, w tym </w:t>
            </w:r>
            <w:r w:rsidR="00714AC1">
              <w:rPr>
                <w:rFonts w:ascii="Corbel" w:hAnsi="Corbel" w:cs="Times New Roman"/>
                <w:color w:val="auto"/>
              </w:rPr>
              <w:br/>
            </w:r>
            <w:r w:rsidRPr="00D47BDE">
              <w:rPr>
                <w:rFonts w:ascii="Corbel" w:hAnsi="Corbel" w:cs="Times New Roman"/>
                <w:color w:val="auto"/>
              </w:rPr>
              <w:t>w instytucjach publicznych i niepublicznych;</w:t>
            </w:r>
          </w:p>
        </w:tc>
        <w:tc>
          <w:tcPr>
            <w:tcW w:w="1822" w:type="dxa"/>
          </w:tcPr>
          <w:p w14:paraId="1BF04521" w14:textId="3170226D" w:rsidR="009457AD" w:rsidRPr="00FB586E" w:rsidRDefault="009457AD" w:rsidP="00714AC1">
            <w:pPr>
              <w:pStyle w:val="Punktygwne"/>
              <w:spacing w:before="0" w:after="0"/>
              <w:ind w:left="-34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D47BDE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="00D47BDE" w:rsidRPr="00FB586E" w14:paraId="0DFC2C8A" w14:textId="77777777" w:rsidTr="00714AC1">
        <w:tc>
          <w:tcPr>
            <w:tcW w:w="1579" w:type="dxa"/>
          </w:tcPr>
          <w:p w14:paraId="68EEB6D7" w14:textId="515AD045" w:rsidR="00D47BDE" w:rsidRPr="00FB586E" w:rsidRDefault="00D47BDE" w:rsidP="00945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119" w:type="dxa"/>
          </w:tcPr>
          <w:p w14:paraId="28E94860" w14:textId="6780D4EB" w:rsidR="00D47BDE" w:rsidRPr="00D3571F" w:rsidRDefault="00D47BDE" w:rsidP="00714AC1">
            <w:pPr>
              <w:pStyle w:val="TableParagraph"/>
              <w:ind w:left="-34"/>
              <w:rPr>
                <w:rFonts w:eastAsia="Calibri" w:cs="Times New Roman"/>
                <w:sz w:val="24"/>
                <w:szCs w:val="24"/>
              </w:rPr>
            </w:pPr>
            <w:r w:rsidRPr="00D47BDE">
              <w:rPr>
                <w:rFonts w:eastAsia="Calibri" w:cs="Times New Roman"/>
                <w:sz w:val="24"/>
                <w:szCs w:val="24"/>
              </w:rPr>
              <w:t>Wykazuje odpowiedzialność za własne przygotowanie do</w:t>
            </w:r>
            <w:r w:rsidR="00D3571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D47BDE">
              <w:rPr>
                <w:rFonts w:cs="Times New Roman"/>
                <w:sz w:val="24"/>
              </w:rPr>
              <w:t>pracy, podejmowane decyzje, działania i ich skutki;</w:t>
            </w:r>
          </w:p>
        </w:tc>
        <w:tc>
          <w:tcPr>
            <w:tcW w:w="1822" w:type="dxa"/>
          </w:tcPr>
          <w:p w14:paraId="188A556E" w14:textId="6C611D2D" w:rsidR="00D47BDE" w:rsidRPr="00FB586E" w:rsidRDefault="00D47BDE" w:rsidP="00714AC1">
            <w:pPr>
              <w:pStyle w:val="Punktygwne"/>
              <w:spacing w:before="0" w:after="0"/>
              <w:ind w:left="-34"/>
              <w:rPr>
                <w:rFonts w:ascii="Corbel" w:hAnsi="Corbel"/>
                <w:b w:val="0"/>
                <w:bCs/>
                <w:szCs w:val="24"/>
              </w:rPr>
            </w:pPr>
            <w:r w:rsidRPr="00FB586E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</w:tbl>
    <w:p w14:paraId="5FB34156" w14:textId="77777777" w:rsidR="0085747A" w:rsidRPr="00FB586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E6B50" w14:textId="4A0A30A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B586E">
        <w:rPr>
          <w:rFonts w:ascii="Corbel" w:hAnsi="Corbel"/>
          <w:b/>
          <w:sz w:val="24"/>
          <w:szCs w:val="24"/>
        </w:rPr>
        <w:t>3.3</w:t>
      </w:r>
      <w:r w:rsidR="00714AC1">
        <w:rPr>
          <w:rFonts w:ascii="Corbel" w:hAnsi="Corbel"/>
          <w:b/>
          <w:sz w:val="24"/>
          <w:szCs w:val="24"/>
        </w:rPr>
        <w:t>.</w:t>
      </w:r>
      <w:r w:rsidR="001D7B54" w:rsidRPr="00FB586E">
        <w:rPr>
          <w:rFonts w:ascii="Corbel" w:hAnsi="Corbel"/>
          <w:b/>
          <w:sz w:val="24"/>
          <w:szCs w:val="24"/>
        </w:rPr>
        <w:t xml:space="preserve"> </w:t>
      </w:r>
      <w:r w:rsidR="0085747A" w:rsidRPr="00FB586E">
        <w:rPr>
          <w:rFonts w:ascii="Corbel" w:hAnsi="Corbel"/>
          <w:b/>
          <w:sz w:val="24"/>
          <w:szCs w:val="24"/>
        </w:rPr>
        <w:t>T</w:t>
      </w:r>
      <w:r w:rsidR="001D7B54" w:rsidRPr="00FB586E">
        <w:rPr>
          <w:rFonts w:ascii="Corbel" w:hAnsi="Corbel"/>
          <w:b/>
          <w:sz w:val="24"/>
          <w:szCs w:val="24"/>
        </w:rPr>
        <w:t>reści programowe</w:t>
      </w:r>
    </w:p>
    <w:p w14:paraId="0ACF683A" w14:textId="77777777" w:rsidR="00714AC1" w:rsidRPr="00FB586E" w:rsidRDefault="00714AC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1C7CB8E" w14:textId="7F5F5C6A" w:rsidR="0085747A" w:rsidRDefault="0085747A" w:rsidP="00714AC1">
      <w:pPr>
        <w:pStyle w:val="Akapitzlist"/>
        <w:numPr>
          <w:ilvl w:val="0"/>
          <w:numId w:val="1"/>
        </w:numPr>
        <w:spacing w:after="120" w:line="240" w:lineRule="auto"/>
        <w:ind w:left="1078" w:hanging="259"/>
        <w:jc w:val="both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sz w:val="24"/>
          <w:szCs w:val="24"/>
        </w:rPr>
        <w:t>Problematyka wykładu</w:t>
      </w:r>
    </w:p>
    <w:p w14:paraId="15FF54A8" w14:textId="77777777" w:rsidR="00AA0D97" w:rsidRPr="00FB586E" w:rsidRDefault="00AA0D97" w:rsidP="00AA0D97">
      <w:pPr>
        <w:pStyle w:val="Akapitzlist"/>
        <w:spacing w:after="120" w:line="240" w:lineRule="auto"/>
        <w:ind w:left="1078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6"/>
      </w:tblGrid>
      <w:tr w:rsidR="00AA0D97" w:rsidRPr="00AA0D97" w14:paraId="39E0D9C4" w14:textId="77777777" w:rsidTr="00CE4AAA">
        <w:tc>
          <w:tcPr>
            <w:tcW w:w="8936" w:type="dxa"/>
          </w:tcPr>
          <w:p w14:paraId="59234A29" w14:textId="77777777" w:rsidR="00AA0D97" w:rsidRPr="00AA0D97" w:rsidRDefault="00AA0D97" w:rsidP="00CE4AA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A0D9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35720" w:rsidRPr="00FB586E" w14:paraId="12FF7B76" w14:textId="77777777" w:rsidTr="00AA0D97">
        <w:tc>
          <w:tcPr>
            <w:tcW w:w="8936" w:type="dxa"/>
          </w:tcPr>
          <w:p w14:paraId="24C474A6" w14:textId="22F7C88C" w:rsidR="00165338" w:rsidRPr="00FB586E" w:rsidRDefault="00165338" w:rsidP="00AA0D97">
            <w:pPr>
              <w:pStyle w:val="Akapitzlist"/>
              <w:spacing w:before="120" w:after="0" w:line="240" w:lineRule="auto"/>
              <w:ind w:left="4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1. Podstawowe pojęcia: fundusze UE, budżet UE i ochrona interesów finansowych UE</w:t>
            </w:r>
            <w:r w:rsidR="00AA0D97">
              <w:rPr>
                <w:rFonts w:ascii="Corbel" w:hAnsi="Corbel"/>
                <w:sz w:val="24"/>
                <w:szCs w:val="24"/>
              </w:rPr>
              <w:t>.</w:t>
            </w:r>
          </w:p>
          <w:p w14:paraId="1FBBCBB7" w14:textId="77777777" w:rsidR="00165338" w:rsidRPr="00FB586E" w:rsidRDefault="00165338" w:rsidP="00AA0D97">
            <w:pPr>
              <w:pStyle w:val="Akapitzlist"/>
              <w:spacing w:after="0" w:line="240" w:lineRule="auto"/>
              <w:ind w:left="43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2. Ramy prawne dotyczące wydatkowania funduszy UE – informacje podstawowe. Pojęcie projektu, rodzaje projektów.</w:t>
            </w:r>
          </w:p>
          <w:p w14:paraId="0282E2EE" w14:textId="77777777" w:rsidR="00165338" w:rsidRPr="00FB586E" w:rsidRDefault="00165338" w:rsidP="00AA0D97">
            <w:pPr>
              <w:pStyle w:val="Akapitzlist"/>
              <w:spacing w:after="0" w:line="240" w:lineRule="auto"/>
              <w:ind w:left="43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3. Pojęcie i cele funduszy tworzonych w budżecie Unii Europejskiej.</w:t>
            </w:r>
          </w:p>
          <w:p w14:paraId="724887D2" w14:textId="16D5671F" w:rsidR="00165338" w:rsidRPr="00FB586E" w:rsidRDefault="00165338" w:rsidP="00AA0D97">
            <w:pPr>
              <w:pStyle w:val="Akapitzlist"/>
              <w:spacing w:after="0" w:line="240" w:lineRule="auto"/>
              <w:ind w:left="43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4. Zasady wydatkowania środków z budżetu Unii Europejskiej</w:t>
            </w:r>
            <w:r w:rsidR="00AA0D97">
              <w:rPr>
                <w:rFonts w:ascii="Corbel" w:hAnsi="Corbel"/>
                <w:sz w:val="24"/>
                <w:szCs w:val="24"/>
              </w:rPr>
              <w:t>.</w:t>
            </w:r>
          </w:p>
          <w:p w14:paraId="638F6871" w14:textId="13E1D5F3" w:rsidR="00165338" w:rsidRPr="00FB586E" w:rsidRDefault="00165338" w:rsidP="00AA0D97">
            <w:pPr>
              <w:pStyle w:val="Akapitzlist"/>
              <w:spacing w:after="0" w:line="240" w:lineRule="auto"/>
              <w:ind w:left="43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5. Wykorzystanie środków pochodzących z budżetu Unii Europejskiej przez samorząd terytorialny w Polsce. Model gospodarowania środkami pochodzącymi z budżetu Unii Europejskiej obowiązujący w Polsce</w:t>
            </w:r>
            <w:r w:rsidR="00AA0D97">
              <w:rPr>
                <w:rFonts w:ascii="Corbel" w:hAnsi="Corbel"/>
                <w:sz w:val="24"/>
                <w:szCs w:val="24"/>
              </w:rPr>
              <w:t>.</w:t>
            </w:r>
          </w:p>
          <w:p w14:paraId="0FA6B037" w14:textId="59D97BE8" w:rsidR="00165338" w:rsidRPr="00FB586E" w:rsidRDefault="00165338" w:rsidP="00AA0D97">
            <w:pPr>
              <w:pStyle w:val="Akapitzlist"/>
              <w:spacing w:after="0" w:line="240" w:lineRule="auto"/>
              <w:ind w:left="43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 xml:space="preserve">6. </w:t>
            </w:r>
            <w:r w:rsidRPr="00FB586E">
              <w:rPr>
                <w:rFonts w:ascii="Corbel" w:hAnsi="Corbel"/>
                <w:bCs/>
                <w:sz w:val="24"/>
                <w:szCs w:val="24"/>
              </w:rPr>
              <w:t>Zasady wdrażania funduszy strukturalnych</w:t>
            </w:r>
            <w:r w:rsidR="00AA0D97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08C2D672" w14:textId="4C225E35" w:rsidR="00165338" w:rsidRPr="00FB586E" w:rsidRDefault="00165338" w:rsidP="00AA0D97">
            <w:pPr>
              <w:pStyle w:val="Akapitzlist"/>
              <w:spacing w:after="0" w:line="240" w:lineRule="auto"/>
              <w:ind w:left="43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 xml:space="preserve">7. Orzecznictwo TSUE. Procedury przed TSUE: postępowanie prejudycjalne </w:t>
            </w:r>
            <w:r w:rsidR="00AA0D97">
              <w:rPr>
                <w:rFonts w:ascii="Corbel" w:hAnsi="Corbel"/>
                <w:sz w:val="24"/>
                <w:szCs w:val="24"/>
              </w:rPr>
              <w:br/>
            </w:r>
            <w:r w:rsidRPr="00FB586E">
              <w:rPr>
                <w:rFonts w:ascii="Corbel" w:hAnsi="Corbel"/>
                <w:sz w:val="24"/>
                <w:szCs w:val="24"/>
              </w:rPr>
              <w:t>(art. 267 TFUE) i skarga Komisji na państwa członkowskie naruszenie zobowiązań wynikających z traktatów (art. 258 i 260 TFUE). Praktyczne wskazówki dotyczące pracy z orzecznictwem TSUE.</w:t>
            </w:r>
          </w:p>
          <w:p w14:paraId="1AFEB9EC" w14:textId="77777777" w:rsidR="009457AD" w:rsidRDefault="00165338" w:rsidP="00FD3F62">
            <w:pPr>
              <w:pStyle w:val="Akapitzlist"/>
              <w:spacing w:after="0" w:line="240" w:lineRule="auto"/>
              <w:ind w:left="4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 xml:space="preserve">8. Czyny naruszające interesy finansowe UE. Nieprawidłowość jako delikt administracyjny naruszający interesy finansowe UE (wyrok TSUE w połączonych sprawach C-260/14 i C-261/14,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Județul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Neamț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Județul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Bacău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Nadużycie finansowe, pranie pieniędzy i korupcja jako przestępstwa naruszające interesy finansowe UE (wyrok TSUE w sprawie C-186/98,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Nunes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i de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Matos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>).</w:t>
            </w:r>
          </w:p>
          <w:p w14:paraId="392F5D83" w14:textId="77777777" w:rsidR="00FD3F62" w:rsidRPr="00FB586E" w:rsidRDefault="00FD3F62" w:rsidP="00FD3F62">
            <w:pPr>
              <w:pStyle w:val="Akapitzlist"/>
              <w:spacing w:after="120" w:line="240" w:lineRule="auto"/>
              <w:ind w:left="4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Pr="00FB586E">
              <w:rPr>
                <w:rFonts w:ascii="Corbel" w:hAnsi="Corbel"/>
                <w:sz w:val="24"/>
                <w:szCs w:val="24"/>
              </w:rPr>
              <w:t>. Monitoring, kontrola i audyt środków pochodzących ze środków UE jako instytucje środków publicznych</w:t>
            </w:r>
          </w:p>
          <w:p w14:paraId="69234F11" w14:textId="77777777" w:rsidR="00FD3F62" w:rsidRPr="00FB586E" w:rsidRDefault="00FD3F62" w:rsidP="00FD3F62">
            <w:pPr>
              <w:pStyle w:val="Akapitzlist"/>
              <w:spacing w:after="120" w:line="240" w:lineRule="auto"/>
              <w:ind w:left="4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Pr="00FB586E">
              <w:rPr>
                <w:rFonts w:ascii="Corbel" w:hAnsi="Corbel"/>
                <w:sz w:val="24"/>
                <w:szCs w:val="24"/>
              </w:rPr>
              <w:t xml:space="preserve">. Kontrole dotyczące funduszy UE. Kontrole dokonywane przez organy krajowe (wyrok TSUE w sprawie C-59/17,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Château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du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Grand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Bois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Kontrole dokonywane przez instytucje UE (wyrok TSUE w sprawie C-409/10,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Afasia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Knits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Deutschland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 </w:t>
            </w:r>
          </w:p>
          <w:p w14:paraId="0A9D2F46" w14:textId="61570E6C" w:rsidR="00FD3F62" w:rsidRPr="00FB586E" w:rsidRDefault="00FD3F62" w:rsidP="00FD3F62">
            <w:pPr>
              <w:pStyle w:val="Akapitzlist"/>
              <w:spacing w:after="120" w:line="240" w:lineRule="auto"/>
              <w:ind w:left="4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  <w:r w:rsidRPr="00FB586E">
              <w:rPr>
                <w:rFonts w:ascii="Corbel" w:hAnsi="Corbel"/>
                <w:sz w:val="24"/>
                <w:szCs w:val="24"/>
              </w:rPr>
              <w:t xml:space="preserve">. Skutki wydatkowania funduszy UE w wyniku nieprawidłowości. Odzyskanie funduszy UE wydatkowanych w wyniku nieprawidłowości (wyrok TSUE w sprawie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FB586E">
              <w:rPr>
                <w:rFonts w:ascii="Corbel" w:hAnsi="Corbel"/>
                <w:sz w:val="24"/>
                <w:szCs w:val="24"/>
              </w:rPr>
              <w:t xml:space="preserve">C-273/15,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Ezernieki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Możliwość odstąpienia od odzyskania funduszy UE (wyrok TSUE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FB586E">
              <w:rPr>
                <w:rFonts w:ascii="Corbel" w:hAnsi="Corbel"/>
                <w:sz w:val="24"/>
                <w:szCs w:val="24"/>
              </w:rPr>
              <w:t xml:space="preserve">w połączonych sprawach C-383/06 do C-385/06,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Vereniging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Nationaal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Overlegorgaan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Sociale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Werkvoorziening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Nakładanie kar administracyjnych (wyrok TSUE w sprawie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FB586E">
              <w:rPr>
                <w:rFonts w:ascii="Corbel" w:hAnsi="Corbel"/>
                <w:sz w:val="24"/>
                <w:szCs w:val="24"/>
              </w:rPr>
              <w:t xml:space="preserve">C-367/09, SGS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Belgium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</w:t>
            </w:r>
          </w:p>
          <w:p w14:paraId="4B2B39B7" w14:textId="77777777" w:rsidR="00FD3F62" w:rsidRDefault="00FD3F62" w:rsidP="00FD3F62">
            <w:pPr>
              <w:pStyle w:val="Akapitzlist"/>
              <w:spacing w:after="120" w:line="240" w:lineRule="auto"/>
              <w:ind w:left="4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Pr="00FB586E">
              <w:rPr>
                <w:rFonts w:ascii="Corbel" w:hAnsi="Corbel"/>
                <w:sz w:val="24"/>
                <w:szCs w:val="24"/>
              </w:rPr>
              <w:t xml:space="preserve">. Przepisy proceduralne stosowane w toku odzyskiwania funduszy UE nakładania kar administracyjnych za nieprawidłowości. Stosowanie z mocą wsteczną kary łagodniejszej (wyrok TSUE w sprawie C-295/02,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Gerken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Terminy przedawnienia nieprawidłowości (wyrok TSUE w sprawie C-201–202/10,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Vion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Trading). Przedawnienie nieprawidłowości ciągłych, powtarzających się i popełnianych w ramach programów wieloletnich (wyrok TSUE sprawa C-52/14,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Pfeifer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 &amp;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Langen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). </w:t>
            </w:r>
          </w:p>
          <w:p w14:paraId="0EE8C5F8" w14:textId="5451FE8A" w:rsidR="00FD3F62" w:rsidRPr="00AA0D97" w:rsidRDefault="00FD3F62" w:rsidP="00FD3F62">
            <w:pPr>
              <w:pStyle w:val="Akapitzlist"/>
              <w:spacing w:after="120" w:line="240" w:lineRule="auto"/>
              <w:ind w:left="45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  <w:r w:rsidRPr="00FB586E">
              <w:rPr>
                <w:rFonts w:ascii="Corbel" w:hAnsi="Corbel"/>
                <w:sz w:val="24"/>
                <w:szCs w:val="24"/>
              </w:rPr>
              <w:t xml:space="preserve">. Ochrona praw podstawowych w sprawach dotyczących funduszy UE. Prawo do bycia wysłuchanym. Prawo do skutecznego środka prawnego i dostępu do bezstronnego sądu (art. 47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ak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. 1 i 2 KPP UE). Prawo wnioskodawcy do sądowej kontroli </w:t>
            </w:r>
            <w:r w:rsidRPr="00FB586E">
              <w:rPr>
                <w:rFonts w:ascii="Corbel" w:hAnsi="Corbel"/>
                <w:sz w:val="24"/>
                <w:szCs w:val="24"/>
              </w:rPr>
              <w:lastRenderedPageBreak/>
              <w:t xml:space="preserve">decyzji o odmowie przyznania funduszy UE (art. 47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ak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 xml:space="preserve">. 1 KPP UE). Prawo dostępu do sądu (art. 47 </w:t>
            </w:r>
            <w:proofErr w:type="spellStart"/>
            <w:r w:rsidRPr="00FB586E">
              <w:rPr>
                <w:rFonts w:ascii="Corbel" w:hAnsi="Corbel"/>
                <w:sz w:val="24"/>
                <w:szCs w:val="24"/>
              </w:rPr>
              <w:t>ak</w:t>
            </w:r>
            <w:proofErr w:type="spellEnd"/>
            <w:r w:rsidRPr="00FB586E">
              <w:rPr>
                <w:rFonts w:ascii="Corbel" w:hAnsi="Corbel"/>
                <w:sz w:val="24"/>
                <w:szCs w:val="24"/>
              </w:rPr>
              <w:t>. 2 KPP UE). Prawo do poszanowania życia prywatnego i prawo do ochrony danych osobowych (art. 7–8 KPP UE). Prawo do równego traktowania (art. 20 KPP UE) i niedyskryminacji (art. 21 ust. 1 i art. 23 KPP UE). Zakaz podwójnego karania za to samo przestępstwo (art. 50 KPP UE) (Wyrok TSUE w sprawie C-129/13 i C-130/13, Kamino International Logistics).</w:t>
            </w:r>
          </w:p>
        </w:tc>
      </w:tr>
    </w:tbl>
    <w:p w14:paraId="6E301277" w14:textId="77777777" w:rsidR="0085747A" w:rsidRPr="00FB586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414CB3" w14:textId="77777777" w:rsidR="0085747A" w:rsidRPr="00FB586E" w:rsidRDefault="0085747A" w:rsidP="00AA0D97">
      <w:pPr>
        <w:pStyle w:val="Akapitzlist"/>
        <w:numPr>
          <w:ilvl w:val="0"/>
          <w:numId w:val="1"/>
        </w:numPr>
        <w:spacing w:line="240" w:lineRule="auto"/>
        <w:ind w:left="1078" w:hanging="252"/>
        <w:rPr>
          <w:rFonts w:ascii="Corbel" w:hAnsi="Corbel"/>
          <w:sz w:val="24"/>
          <w:szCs w:val="24"/>
        </w:rPr>
      </w:pPr>
      <w:r w:rsidRPr="00FB586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B586E">
        <w:rPr>
          <w:rFonts w:ascii="Corbel" w:hAnsi="Corbel"/>
          <w:sz w:val="24"/>
          <w:szCs w:val="24"/>
        </w:rPr>
        <w:t xml:space="preserve">, </w:t>
      </w:r>
      <w:r w:rsidRPr="00FB586E">
        <w:rPr>
          <w:rFonts w:ascii="Corbel" w:hAnsi="Corbel"/>
          <w:sz w:val="24"/>
          <w:szCs w:val="24"/>
        </w:rPr>
        <w:t xml:space="preserve">zajęć praktycznych </w:t>
      </w:r>
    </w:p>
    <w:p w14:paraId="75285766" w14:textId="77777777" w:rsidR="0085747A" w:rsidRPr="00FB586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6"/>
      </w:tblGrid>
      <w:tr w:rsidR="0085747A" w:rsidRPr="00FB586E" w14:paraId="553FE7F7" w14:textId="77777777" w:rsidTr="00AA0D97">
        <w:tc>
          <w:tcPr>
            <w:tcW w:w="8936" w:type="dxa"/>
          </w:tcPr>
          <w:p w14:paraId="27ADE53C" w14:textId="77777777" w:rsidR="0085747A" w:rsidRPr="00AA0D9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bookmarkStart w:id="1" w:name="_Hlk219720760"/>
            <w:r w:rsidRPr="00AA0D9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bookmarkEnd w:id="1"/>
      <w:tr w:rsidR="0085747A" w:rsidRPr="00FB586E" w14:paraId="5C2C5386" w14:textId="77777777" w:rsidTr="00AA0D97">
        <w:tc>
          <w:tcPr>
            <w:tcW w:w="8936" w:type="dxa"/>
          </w:tcPr>
          <w:p w14:paraId="0FB2DF47" w14:textId="7F59E08C" w:rsidR="0085747A" w:rsidRPr="00FB586E" w:rsidRDefault="0088696F" w:rsidP="0088696F">
            <w:pPr>
              <w:pStyle w:val="Akapitzlist"/>
              <w:spacing w:after="0" w:line="240" w:lineRule="auto"/>
              <w:ind w:left="45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0A8AD4E" w14:textId="77777777" w:rsidR="0085747A" w:rsidRPr="00FB586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0D5B15" w14:textId="78BC081A" w:rsidR="0085747A" w:rsidRPr="00FB586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>3.4</w:t>
      </w:r>
      <w:r w:rsidR="00AA0D97">
        <w:rPr>
          <w:rFonts w:ascii="Corbel" w:hAnsi="Corbel"/>
          <w:smallCaps w:val="0"/>
          <w:szCs w:val="24"/>
        </w:rPr>
        <w:t>.</w:t>
      </w:r>
      <w:r w:rsidRPr="00FB586E">
        <w:rPr>
          <w:rFonts w:ascii="Corbel" w:hAnsi="Corbel"/>
          <w:smallCaps w:val="0"/>
          <w:szCs w:val="24"/>
        </w:rPr>
        <w:t xml:space="preserve"> Metody dydaktyczne</w:t>
      </w:r>
      <w:r w:rsidRPr="00FB586E">
        <w:rPr>
          <w:rFonts w:ascii="Corbel" w:hAnsi="Corbel"/>
          <w:b w:val="0"/>
          <w:smallCaps w:val="0"/>
          <w:szCs w:val="24"/>
        </w:rPr>
        <w:t xml:space="preserve"> </w:t>
      </w:r>
    </w:p>
    <w:p w14:paraId="055636F6" w14:textId="77777777" w:rsidR="0085747A" w:rsidRPr="00FB586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873F7A" w14:textId="0FC7015F" w:rsidR="00E960BB" w:rsidRPr="00997E98" w:rsidRDefault="00793155" w:rsidP="00AA0D97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b w:val="0"/>
          <w:smallCaps w:val="0"/>
        </w:rPr>
      </w:pPr>
      <w:r w:rsidRPr="2FC3B46E">
        <w:rPr>
          <w:rFonts w:ascii="Corbel" w:hAnsi="Corbel"/>
          <w:b w:val="0"/>
          <w:smallCaps w:val="0"/>
        </w:rPr>
        <w:t xml:space="preserve">Wykład: </w:t>
      </w:r>
      <w:r w:rsidR="00AA0D97">
        <w:rPr>
          <w:rFonts w:ascii="Corbel" w:hAnsi="Corbel"/>
          <w:b w:val="0"/>
          <w:smallCaps w:val="0"/>
        </w:rPr>
        <w:t>g</w:t>
      </w:r>
      <w:r w:rsidR="00535720" w:rsidRPr="2FC3B46E">
        <w:rPr>
          <w:rFonts w:ascii="Corbel" w:hAnsi="Corbel"/>
          <w:b w:val="0"/>
          <w:smallCaps w:val="0"/>
        </w:rPr>
        <w:t>łówną metodą wykorzystywaną podczas przeprowadzanych wykładów jest metoda audytoryjna, obejmująca przede wszystkim prezentację wiedzy teoretycznej.</w:t>
      </w:r>
    </w:p>
    <w:p w14:paraId="16625F6F" w14:textId="184D39BE" w:rsidR="0088696F" w:rsidRDefault="0088696F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28C5A032" w14:textId="65A56D63" w:rsidR="0085747A" w:rsidRPr="00FB586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 xml:space="preserve">4. </w:t>
      </w:r>
      <w:r w:rsidR="0085747A" w:rsidRPr="00FB586E">
        <w:rPr>
          <w:rFonts w:ascii="Corbel" w:hAnsi="Corbel"/>
          <w:smallCaps w:val="0"/>
          <w:szCs w:val="24"/>
        </w:rPr>
        <w:t>METODY I KRYTERIA OCENY</w:t>
      </w:r>
      <w:r w:rsidR="009F4610" w:rsidRPr="00FB586E">
        <w:rPr>
          <w:rFonts w:ascii="Corbel" w:hAnsi="Corbel"/>
          <w:smallCaps w:val="0"/>
          <w:szCs w:val="24"/>
        </w:rPr>
        <w:t xml:space="preserve"> </w:t>
      </w:r>
    </w:p>
    <w:p w14:paraId="409F72E9" w14:textId="77777777" w:rsidR="00923D7D" w:rsidRPr="00FB586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0818D4" w14:textId="608C4798" w:rsidR="0085747A" w:rsidRPr="00FB586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>4.1</w:t>
      </w:r>
      <w:r w:rsidR="00AA0D97">
        <w:rPr>
          <w:rFonts w:ascii="Corbel" w:hAnsi="Corbel"/>
          <w:smallCaps w:val="0"/>
          <w:szCs w:val="24"/>
        </w:rPr>
        <w:t>.</w:t>
      </w:r>
      <w:r w:rsidRPr="00FB586E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B586E">
        <w:rPr>
          <w:rFonts w:ascii="Corbel" w:hAnsi="Corbel"/>
          <w:smallCaps w:val="0"/>
          <w:szCs w:val="24"/>
        </w:rPr>
        <w:t>uczenia się</w:t>
      </w:r>
    </w:p>
    <w:p w14:paraId="11AD6219" w14:textId="77777777" w:rsidR="0085747A" w:rsidRPr="00FB586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B586E" w14:paraId="7E420ACC" w14:textId="77777777" w:rsidTr="2D3C6070">
        <w:tc>
          <w:tcPr>
            <w:tcW w:w="1962" w:type="dxa"/>
            <w:vAlign w:val="center"/>
          </w:tcPr>
          <w:p w14:paraId="43990DD5" w14:textId="77777777" w:rsidR="0085747A" w:rsidRPr="00FB586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1B4796C" w14:textId="77777777" w:rsidR="0085747A" w:rsidRPr="00FB586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36536"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3A3044A" w14:textId="77777777" w:rsidR="0085747A" w:rsidRPr="00FB586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E885D6" w14:textId="77777777" w:rsidR="00923D7D" w:rsidRPr="00FB586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6365B8" w14:textId="77777777" w:rsidR="0085747A" w:rsidRPr="00FB586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036536" w:rsidRPr="00FB586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B586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B586E" w14:paraId="19D8C65E" w14:textId="77777777" w:rsidTr="0088696F">
        <w:trPr>
          <w:trHeight w:val="329"/>
        </w:trPr>
        <w:tc>
          <w:tcPr>
            <w:tcW w:w="1962" w:type="dxa"/>
            <w:vAlign w:val="center"/>
          </w:tcPr>
          <w:p w14:paraId="46A534D6" w14:textId="786AFCA3" w:rsidR="0085747A" w:rsidRPr="00AA0D97" w:rsidRDefault="0088696F" w:rsidP="008869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Pr="00AA0D9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14:paraId="4AE8D1FB" w14:textId="618B1FA3" w:rsidR="0085747A" w:rsidRPr="00AA0D97" w:rsidRDefault="00793155" w:rsidP="008869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60CC54A9" w14:textId="2EF9CF42" w:rsidR="0085747A" w:rsidRPr="00AA0D97" w:rsidRDefault="00AA0D97" w:rsidP="008869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8696F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5C8F0AC7" w14:textId="77777777" w:rsidR="00923D7D" w:rsidRPr="00FB586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9D6B80" w14:textId="5C969542" w:rsidR="0085747A" w:rsidRPr="00FB586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>4.2</w:t>
      </w:r>
      <w:r w:rsidR="00AA0D97">
        <w:rPr>
          <w:rFonts w:ascii="Corbel" w:hAnsi="Corbel"/>
          <w:smallCaps w:val="0"/>
          <w:szCs w:val="24"/>
        </w:rPr>
        <w:t>.</w:t>
      </w:r>
      <w:r w:rsidRPr="00FB586E">
        <w:rPr>
          <w:rFonts w:ascii="Corbel" w:hAnsi="Corbel"/>
          <w:smallCaps w:val="0"/>
          <w:szCs w:val="24"/>
        </w:rPr>
        <w:t xml:space="preserve"> </w:t>
      </w:r>
      <w:r w:rsidR="0085747A" w:rsidRPr="00FB586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B586E">
        <w:rPr>
          <w:rFonts w:ascii="Corbel" w:hAnsi="Corbel"/>
          <w:smallCaps w:val="0"/>
          <w:szCs w:val="24"/>
        </w:rPr>
        <w:t xml:space="preserve"> </w:t>
      </w:r>
    </w:p>
    <w:p w14:paraId="10320D55" w14:textId="77777777" w:rsidR="00923D7D" w:rsidRPr="00FB586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B586E" w14:paraId="34063318" w14:textId="77777777" w:rsidTr="2D3C6070">
        <w:tc>
          <w:tcPr>
            <w:tcW w:w="9670" w:type="dxa"/>
          </w:tcPr>
          <w:p w14:paraId="6B3624DB" w14:textId="27E0EAC2" w:rsidR="006D12BB" w:rsidRPr="00FB586E" w:rsidRDefault="00AA0D97" w:rsidP="00FD3F62">
            <w:pPr>
              <w:spacing w:before="120"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Wykład: e</w:t>
            </w:r>
            <w:r w:rsidR="00793155" w:rsidRPr="2D3C6070">
              <w:rPr>
                <w:rFonts w:ascii="Corbel" w:hAnsi="Corbel"/>
                <w:sz w:val="24"/>
                <w:szCs w:val="24"/>
                <w:lang w:eastAsia="pl-PL"/>
              </w:rPr>
              <w:t>gzamin</w:t>
            </w:r>
            <w:r w:rsidR="0089CE5F" w:rsidRPr="2D3C6070">
              <w:rPr>
                <w:rFonts w:ascii="Corbel" w:hAnsi="Corbel"/>
                <w:sz w:val="24"/>
                <w:szCs w:val="24"/>
                <w:lang w:eastAsia="pl-PL"/>
              </w:rPr>
              <w:t xml:space="preserve"> pisemn</w:t>
            </w:r>
            <w:r w:rsidR="00793155" w:rsidRPr="2D3C6070"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="0089CE5F" w:rsidRPr="2D3C6070">
              <w:rPr>
                <w:rFonts w:ascii="Corbel" w:hAnsi="Corbel"/>
                <w:sz w:val="24"/>
                <w:szCs w:val="24"/>
                <w:lang w:eastAsia="pl-PL"/>
              </w:rPr>
              <w:t xml:space="preserve"> obejmuje wiedzę z wykładu oraz aktów prawnych i zalecanej literatury w postaci testu jednokrotnego wyboru. Test składa się z 30-45: za każdą poprawną odpowiedź student uzyskuje +1 pkt w tym 1-3 pytań otwartych każde za min. 2 pkt.</w:t>
            </w:r>
          </w:p>
          <w:p w14:paraId="1730E17E" w14:textId="670C9450" w:rsidR="009B265E" w:rsidRPr="00FB586E" w:rsidRDefault="006D12BB" w:rsidP="00FD3F62">
            <w:pPr>
              <w:spacing w:before="120"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Ocena końcowa zależy od ilości punktów uzyskanych z </w:t>
            </w:r>
            <w:r w:rsidR="00D05E3E">
              <w:rPr>
                <w:rFonts w:ascii="Corbel" w:hAnsi="Corbel"/>
                <w:sz w:val="24"/>
                <w:szCs w:val="24"/>
                <w:lang w:eastAsia="pl-PL"/>
              </w:rPr>
              <w:t>egzaminu</w:t>
            </w: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. </w:t>
            </w:r>
            <w:r w:rsidR="009B265E"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Uzależnione od stopnia prawidłowości i zupełności udzielonej odpowiedzi, stanowiącej równowartość </w:t>
            </w:r>
            <w:r w:rsidR="00EE0EDE">
              <w:rPr>
                <w:rFonts w:ascii="Corbel" w:hAnsi="Corbel"/>
                <w:sz w:val="24"/>
                <w:szCs w:val="24"/>
                <w:lang w:eastAsia="pl-PL"/>
              </w:rPr>
              <w:t>ponad</w:t>
            </w:r>
            <w:r w:rsidR="009B265E"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 60 procent właściwej i zupełnej odpowiedzi.</w:t>
            </w:r>
          </w:p>
          <w:p w14:paraId="7F3E4470" w14:textId="3A8AB71E" w:rsidR="00EE0EDE" w:rsidRPr="00FB586E" w:rsidRDefault="00EE0EDE" w:rsidP="00FD3F62">
            <w:pPr>
              <w:spacing w:before="120"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Skala ocen:</w:t>
            </w:r>
          </w:p>
          <w:p w14:paraId="12D482F6" w14:textId="77777777" w:rsidR="00EE0EDE" w:rsidRPr="00FB586E" w:rsidRDefault="00EE0EDE" w:rsidP="00AA0D9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Do 60 % - 2,0 </w:t>
            </w:r>
          </w:p>
          <w:p w14:paraId="7DB0DE05" w14:textId="77777777" w:rsidR="00EE0EDE" w:rsidRPr="00FB586E" w:rsidRDefault="00EE0EDE" w:rsidP="00AA0D9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 – 70 % - 3,0</w:t>
            </w:r>
          </w:p>
          <w:p w14:paraId="05427109" w14:textId="77777777" w:rsidR="00EE0EDE" w:rsidRPr="00FB586E" w:rsidRDefault="00EE0EDE" w:rsidP="00AA0D9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>7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1 </w:t>
            </w: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- 80 </w:t>
            </w:r>
            <w:proofErr w:type="gramStart"/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>%  –</w:t>
            </w:r>
            <w:proofErr w:type="gramEnd"/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 3,5</w:t>
            </w:r>
          </w:p>
          <w:p w14:paraId="60F72CA0" w14:textId="77777777" w:rsidR="00EE0EDE" w:rsidRPr="00FB586E" w:rsidRDefault="00EE0EDE" w:rsidP="00AA0D9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 w:rsidRPr="00FB586E">
              <w:rPr>
                <w:rFonts w:ascii="Corbel" w:hAnsi="Corbel"/>
                <w:sz w:val="24"/>
                <w:szCs w:val="24"/>
                <w:lang w:eastAsia="pl-PL"/>
              </w:rPr>
              <w:t xml:space="preserve"> – 90 % - 4,0</w:t>
            </w:r>
          </w:p>
          <w:p w14:paraId="0577E579" w14:textId="77777777" w:rsidR="00EE0EDE" w:rsidRDefault="00EE0EDE" w:rsidP="00AA0D9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60B10983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 w:rsidRPr="60B10983">
              <w:rPr>
                <w:rFonts w:ascii="Corbel" w:hAnsi="Corbel"/>
                <w:sz w:val="24"/>
                <w:szCs w:val="24"/>
                <w:lang w:eastAsia="pl-PL"/>
              </w:rPr>
              <w:t xml:space="preserve"> – 95 % - 4,5</w:t>
            </w:r>
          </w:p>
          <w:p w14:paraId="15C4A54D" w14:textId="4DC400FB" w:rsidR="00AA0D97" w:rsidRPr="0088696F" w:rsidRDefault="00EE0EDE" w:rsidP="00FD3F62">
            <w:pPr>
              <w:spacing w:after="12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96 – 100% - 5,0</w:t>
            </w:r>
          </w:p>
        </w:tc>
      </w:tr>
    </w:tbl>
    <w:p w14:paraId="6CE2FB6E" w14:textId="77777777" w:rsidR="0085747A" w:rsidRPr="00FB586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759BE4" w14:textId="77777777" w:rsidR="00FD3F62" w:rsidRDefault="00FD3F6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AD49163" w14:textId="33ED878B" w:rsidR="009F4610" w:rsidRPr="00FB586E" w:rsidRDefault="0085747A" w:rsidP="00AA0D97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FB586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FB586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DA687F" w14:textId="77777777" w:rsidR="0085747A" w:rsidRPr="00FB586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FB586E" w14:paraId="5E3CDB41" w14:textId="77777777" w:rsidTr="00AA0D97">
        <w:tc>
          <w:tcPr>
            <w:tcW w:w="5132" w:type="dxa"/>
            <w:vAlign w:val="center"/>
          </w:tcPr>
          <w:p w14:paraId="00E78856" w14:textId="77777777" w:rsidR="0085747A" w:rsidRPr="00FB586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86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B586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B586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D66078F" w14:textId="77777777" w:rsidR="0085747A" w:rsidRPr="00FB586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586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B586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B586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B586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B586E" w14:paraId="434DD9BB" w14:textId="77777777" w:rsidTr="00AA0D97">
        <w:tc>
          <w:tcPr>
            <w:tcW w:w="5132" w:type="dxa"/>
          </w:tcPr>
          <w:p w14:paraId="5FB43DE7" w14:textId="38DCF24B" w:rsidR="0085747A" w:rsidRPr="00FB586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D3C6070">
              <w:rPr>
                <w:rFonts w:ascii="Corbel" w:hAnsi="Corbel"/>
                <w:sz w:val="24"/>
                <w:szCs w:val="24"/>
              </w:rPr>
              <w:t>G</w:t>
            </w:r>
            <w:r w:rsidR="0085747A" w:rsidRPr="2D3C607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342363C3" w:rsidRPr="2D3C6070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4388" w:type="dxa"/>
          </w:tcPr>
          <w:p w14:paraId="20B7B956" w14:textId="105DA8C9" w:rsidR="0085747A" w:rsidRPr="00AA0D97" w:rsidRDefault="0088696F" w:rsidP="00AF19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15</w:t>
            </w:r>
          </w:p>
        </w:tc>
      </w:tr>
      <w:tr w:rsidR="00C61DC5" w:rsidRPr="00FB586E" w14:paraId="4A4BF9EB" w14:textId="77777777" w:rsidTr="00AA0D97">
        <w:tc>
          <w:tcPr>
            <w:tcW w:w="5132" w:type="dxa"/>
          </w:tcPr>
          <w:p w14:paraId="1CA6AB56" w14:textId="203A6933" w:rsidR="00C61DC5" w:rsidRPr="00FB586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D3C607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A4230DA" w:rsidRPr="2D3C6070">
              <w:rPr>
                <w:rFonts w:ascii="Corbel" w:hAnsi="Corbel"/>
                <w:sz w:val="24"/>
                <w:szCs w:val="24"/>
              </w:rPr>
              <w:t xml:space="preserve"> aka</w:t>
            </w:r>
            <w:r w:rsidR="00AA0D97">
              <w:rPr>
                <w:rFonts w:ascii="Corbel" w:hAnsi="Corbel"/>
                <w:sz w:val="24"/>
                <w:szCs w:val="24"/>
              </w:rPr>
              <w:t>d</w:t>
            </w:r>
            <w:r w:rsidR="0A4230DA" w:rsidRPr="2D3C6070">
              <w:rPr>
                <w:rFonts w:ascii="Corbel" w:hAnsi="Corbel"/>
                <w:sz w:val="24"/>
                <w:szCs w:val="24"/>
              </w:rPr>
              <w:t>emickiego</w:t>
            </w:r>
          </w:p>
          <w:p w14:paraId="4107B1E6" w14:textId="77777777" w:rsidR="00C61DC5" w:rsidRPr="00FB586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5F408C1C" w14:textId="7742B5C1" w:rsidR="00C61DC5" w:rsidRPr="00AA0D97" w:rsidRDefault="0088696F" w:rsidP="00AF19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15</w:t>
            </w:r>
          </w:p>
        </w:tc>
      </w:tr>
      <w:tr w:rsidR="00C61DC5" w:rsidRPr="00FB586E" w14:paraId="4CAEFF56" w14:textId="77777777" w:rsidTr="00AA0D97">
        <w:tc>
          <w:tcPr>
            <w:tcW w:w="5132" w:type="dxa"/>
          </w:tcPr>
          <w:p w14:paraId="5FBF8DDA" w14:textId="77777777" w:rsidR="0071620A" w:rsidRPr="00FB586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2B1CA19" w14:textId="77777777" w:rsidR="00C61DC5" w:rsidRPr="00FB586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9A2FC20" w14:textId="7E9CEFB8" w:rsidR="00C61DC5" w:rsidRPr="00AA0D97" w:rsidRDefault="0088696F" w:rsidP="00AF19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70</w:t>
            </w:r>
          </w:p>
        </w:tc>
      </w:tr>
      <w:tr w:rsidR="0085747A" w:rsidRPr="00FB586E" w14:paraId="6EE59345" w14:textId="77777777" w:rsidTr="00AA0D97">
        <w:tc>
          <w:tcPr>
            <w:tcW w:w="5132" w:type="dxa"/>
          </w:tcPr>
          <w:p w14:paraId="70866A6B" w14:textId="77777777" w:rsidR="0085747A" w:rsidRPr="00FB586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586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6FAD8574" w14:textId="769C97EA" w:rsidR="0085747A" w:rsidRPr="00AA0D97" w:rsidRDefault="00535720" w:rsidP="00AF19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A0D97">
              <w:rPr>
                <w:rFonts w:ascii="Corbel" w:hAnsi="Corbel"/>
                <w:bCs/>
                <w:sz w:val="24"/>
                <w:szCs w:val="24"/>
              </w:rPr>
              <w:t>1</w:t>
            </w:r>
            <w:r w:rsidR="00997E98" w:rsidRPr="00AA0D97">
              <w:rPr>
                <w:rFonts w:ascii="Corbel" w:hAnsi="Corbel"/>
                <w:bCs/>
                <w:sz w:val="24"/>
                <w:szCs w:val="24"/>
              </w:rPr>
              <w:t>00</w:t>
            </w:r>
          </w:p>
        </w:tc>
      </w:tr>
      <w:tr w:rsidR="0085747A" w:rsidRPr="00FB586E" w14:paraId="5101AF5F" w14:textId="77777777" w:rsidTr="00AA0D97">
        <w:tc>
          <w:tcPr>
            <w:tcW w:w="5132" w:type="dxa"/>
          </w:tcPr>
          <w:p w14:paraId="784FC010" w14:textId="77777777" w:rsidR="0085747A" w:rsidRPr="00FB586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B586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6882BB6" w14:textId="77777777" w:rsidR="0085747A" w:rsidRPr="00AA0D97" w:rsidRDefault="00535720" w:rsidP="00AF19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A0D97">
              <w:rPr>
                <w:rFonts w:ascii="Corbel" w:hAnsi="Corbel"/>
                <w:bCs/>
                <w:sz w:val="24"/>
                <w:szCs w:val="24"/>
              </w:rPr>
              <w:t>4</w:t>
            </w:r>
          </w:p>
        </w:tc>
      </w:tr>
    </w:tbl>
    <w:p w14:paraId="48B1A993" w14:textId="77777777" w:rsidR="0085747A" w:rsidRPr="00FB586E" w:rsidRDefault="00923D7D" w:rsidP="00E51AEF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FB586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B586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C352FA" w14:textId="77777777" w:rsidR="003E1941" w:rsidRPr="00FB586E" w:rsidRDefault="003E1941" w:rsidP="00E51A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533435" w14:textId="77777777" w:rsidR="0085747A" w:rsidRPr="00FB586E" w:rsidRDefault="0071620A" w:rsidP="00E51A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 xml:space="preserve">6. </w:t>
      </w:r>
      <w:r w:rsidR="0085747A" w:rsidRPr="00FB586E">
        <w:rPr>
          <w:rFonts w:ascii="Corbel" w:hAnsi="Corbel"/>
          <w:smallCaps w:val="0"/>
          <w:szCs w:val="24"/>
        </w:rPr>
        <w:t>PRAKTYKI ZAWODOWE W RAMACH PRZEDMIOTU</w:t>
      </w:r>
    </w:p>
    <w:p w14:paraId="6506CAF7" w14:textId="77777777" w:rsidR="0085747A" w:rsidRPr="00FB586E" w:rsidRDefault="0085747A" w:rsidP="00E51A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FB586E" w14:paraId="320C5C64" w14:textId="77777777" w:rsidTr="0088696F">
        <w:trPr>
          <w:trHeight w:val="397"/>
        </w:trPr>
        <w:tc>
          <w:tcPr>
            <w:tcW w:w="3940" w:type="dxa"/>
            <w:vAlign w:val="center"/>
          </w:tcPr>
          <w:p w14:paraId="50A54D5B" w14:textId="77777777" w:rsidR="0085747A" w:rsidRPr="00FB586E" w:rsidRDefault="0085747A" w:rsidP="008869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70957DEA" w14:textId="77777777" w:rsidR="0085747A" w:rsidRPr="00FB586E" w:rsidRDefault="00535720" w:rsidP="008869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B586E" w14:paraId="200987D9" w14:textId="77777777" w:rsidTr="0088696F">
        <w:trPr>
          <w:trHeight w:val="397"/>
        </w:trPr>
        <w:tc>
          <w:tcPr>
            <w:tcW w:w="3940" w:type="dxa"/>
            <w:vAlign w:val="center"/>
          </w:tcPr>
          <w:p w14:paraId="1F412ED7" w14:textId="77777777" w:rsidR="0085747A" w:rsidRPr="00FB586E" w:rsidRDefault="0085747A" w:rsidP="008869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22AE9EA9" w14:textId="77777777" w:rsidR="0085747A" w:rsidRPr="00FB586E" w:rsidRDefault="00535720" w:rsidP="008869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586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AD4A21" w14:textId="77777777" w:rsidR="003E1941" w:rsidRPr="00FB586E" w:rsidRDefault="003E1941" w:rsidP="00E51A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4E57E1" w14:textId="4CEA3CBD" w:rsidR="0088696F" w:rsidRDefault="0088696F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B01939B" w14:textId="437811C4" w:rsidR="0085747A" w:rsidRPr="00FB586E" w:rsidRDefault="00675843" w:rsidP="00E51A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586E">
        <w:rPr>
          <w:rFonts w:ascii="Corbel" w:hAnsi="Corbel"/>
          <w:smallCaps w:val="0"/>
          <w:szCs w:val="24"/>
        </w:rPr>
        <w:t xml:space="preserve">7. </w:t>
      </w:r>
      <w:r w:rsidR="0085747A" w:rsidRPr="00FB586E">
        <w:rPr>
          <w:rFonts w:ascii="Corbel" w:hAnsi="Corbel"/>
          <w:smallCaps w:val="0"/>
          <w:szCs w:val="24"/>
        </w:rPr>
        <w:t>LITERATURA</w:t>
      </w:r>
      <w:r w:rsidRPr="00FB586E">
        <w:rPr>
          <w:rFonts w:ascii="Corbel" w:hAnsi="Corbel"/>
          <w:smallCaps w:val="0"/>
          <w:szCs w:val="24"/>
        </w:rPr>
        <w:t xml:space="preserve"> </w:t>
      </w:r>
    </w:p>
    <w:p w14:paraId="26885CF4" w14:textId="77777777" w:rsidR="00675843" w:rsidRPr="00FB586E" w:rsidRDefault="00675843" w:rsidP="00E51A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4"/>
      </w:tblGrid>
      <w:tr w:rsidR="0085747A" w:rsidRPr="00FB586E" w14:paraId="320022A4" w14:textId="77777777" w:rsidTr="00FD3F62">
        <w:trPr>
          <w:trHeight w:val="397"/>
        </w:trPr>
        <w:tc>
          <w:tcPr>
            <w:tcW w:w="9034" w:type="dxa"/>
          </w:tcPr>
          <w:p w14:paraId="5862C698" w14:textId="77777777" w:rsidR="0085747A" w:rsidRPr="00AA0D97" w:rsidRDefault="0085747A" w:rsidP="005B5C8B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</w:rPr>
            </w:pPr>
            <w:r w:rsidRPr="00AA0D97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06999C5" w14:textId="77777777" w:rsidR="009457AD" w:rsidRPr="00AA0D97" w:rsidRDefault="009457AD" w:rsidP="00AA0D97">
            <w:pPr>
              <w:pStyle w:val="Punktygwne"/>
              <w:numPr>
                <w:ilvl w:val="0"/>
                <w:numId w:val="3"/>
              </w:numPr>
              <w:spacing w:before="0" w:after="0"/>
              <w:ind w:left="343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A. Wójtowicz-Dawid, Monitoring, kontrola i audyt wykorzystania środków UW, Warszawa 2020 </w:t>
            </w:r>
          </w:p>
          <w:p w14:paraId="4E3D11A0" w14:textId="76A37754" w:rsidR="009457AD" w:rsidRPr="00AA0D97" w:rsidRDefault="009457AD" w:rsidP="00AA0D97">
            <w:pPr>
              <w:pStyle w:val="Punktygwne"/>
              <w:numPr>
                <w:ilvl w:val="0"/>
                <w:numId w:val="3"/>
              </w:numPr>
              <w:spacing w:before="0" w:after="0"/>
              <w:ind w:left="343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AA0D97">
              <w:rPr>
                <w:rFonts w:ascii="Corbel" w:hAnsi="Corbel"/>
                <w:b w:val="0"/>
                <w:smallCaps w:val="0"/>
                <w:szCs w:val="24"/>
              </w:rPr>
              <w:t>Kornberger</w:t>
            </w:r>
            <w:proofErr w:type="spellEnd"/>
            <w:r w:rsidRPr="00AA0D97">
              <w:rPr>
                <w:rFonts w:ascii="Corbel" w:hAnsi="Corbel"/>
                <w:b w:val="0"/>
                <w:smallCaps w:val="0"/>
                <w:szCs w:val="24"/>
              </w:rPr>
              <w:t>-Sokołowska (red.), Jednostki samorządu terytorialnego jako beneficjenci środków europejskich, Warszawa 2012.</w:t>
            </w:r>
          </w:p>
          <w:p w14:paraId="17DA1905" w14:textId="367308CC" w:rsidR="009457AD" w:rsidRPr="00AA0D97" w:rsidRDefault="009457AD" w:rsidP="00AA0D97">
            <w:pPr>
              <w:pStyle w:val="Punktygwne"/>
              <w:numPr>
                <w:ilvl w:val="0"/>
                <w:numId w:val="3"/>
              </w:numPr>
              <w:spacing w:before="0" w:after="0"/>
              <w:ind w:left="343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proofErr w:type="gramStart"/>
            <w:r w:rsidRPr="00AA0D97">
              <w:rPr>
                <w:rFonts w:ascii="Corbel" w:hAnsi="Corbel"/>
                <w:b w:val="0"/>
                <w:smallCaps w:val="0"/>
                <w:szCs w:val="24"/>
              </w:rPr>
              <w:t>Dołowiec</w:t>
            </w:r>
            <w:proofErr w:type="spellEnd"/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 ,</w:t>
            </w:r>
            <w:proofErr w:type="gramEnd"/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 D.E. Harasimiuk, M. </w:t>
            </w:r>
            <w:proofErr w:type="spellStart"/>
            <w:r w:rsidRPr="00AA0D97">
              <w:rPr>
                <w:rFonts w:ascii="Corbel" w:hAnsi="Corbel"/>
                <w:b w:val="0"/>
                <w:smallCaps w:val="0"/>
                <w:szCs w:val="24"/>
              </w:rPr>
              <w:t>Metlerska</w:t>
            </w:r>
            <w:proofErr w:type="spellEnd"/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-Drabik, J. Ostałowski, R. </w:t>
            </w:r>
            <w:proofErr w:type="spellStart"/>
            <w:r w:rsidRPr="00AA0D97">
              <w:rPr>
                <w:rFonts w:ascii="Corbel" w:hAnsi="Corbel"/>
                <w:b w:val="0"/>
                <w:smallCaps w:val="0"/>
                <w:szCs w:val="24"/>
              </w:rPr>
              <w:t>Poździk</w:t>
            </w:r>
            <w:proofErr w:type="spellEnd"/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D3F6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A. Wołowiec-Ostrowska, Komentarz do ustawy o zasadach realizacji programów </w:t>
            </w:r>
            <w:r w:rsidR="00FD3F6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AA0D97">
              <w:rPr>
                <w:rFonts w:ascii="Corbel" w:hAnsi="Corbel"/>
                <w:b w:val="0"/>
                <w:smallCaps w:val="0"/>
                <w:szCs w:val="24"/>
              </w:rPr>
              <w:t>w zakresie polityki spójności finansowanych w perspektywie finansowej 2014-2020, Warszawa 2016</w:t>
            </w:r>
          </w:p>
          <w:p w14:paraId="24FE8BE4" w14:textId="77777777" w:rsidR="009457AD" w:rsidRPr="00AA0D97" w:rsidRDefault="009457AD" w:rsidP="00AA0D97">
            <w:pPr>
              <w:pStyle w:val="Punktygwne"/>
              <w:numPr>
                <w:ilvl w:val="0"/>
                <w:numId w:val="3"/>
              </w:numPr>
              <w:spacing w:before="0" w:after="0"/>
              <w:ind w:left="343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Justyna Łacny, Fundusze UE w: Stanisław Biernat, Kamienie milowe orzecznictwa Trybunału Sprawiedliwości Unii Europejskiej, Warszawa 2019, </w:t>
            </w:r>
          </w:p>
          <w:p w14:paraId="544970B6" w14:textId="77777777" w:rsidR="009457AD" w:rsidRPr="00AA0D97" w:rsidRDefault="009457AD" w:rsidP="005B5C8B">
            <w:pPr>
              <w:pStyle w:val="Punktygwne"/>
              <w:numPr>
                <w:ilvl w:val="0"/>
                <w:numId w:val="3"/>
              </w:numPr>
              <w:spacing w:before="0" w:after="0"/>
              <w:ind w:left="337" w:hanging="266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Alina Walewska, Mechanizmy kontroli instrumentów prawno-finansowych polityki spójności w perspektywie finansowej 2014-2020, Warszawa 2018 </w:t>
            </w:r>
          </w:p>
          <w:p w14:paraId="61C086CC" w14:textId="3278727F" w:rsidR="00535720" w:rsidRPr="005B5C8B" w:rsidRDefault="009457AD" w:rsidP="00E51AEF">
            <w:pPr>
              <w:pStyle w:val="Punktygwne"/>
              <w:numPr>
                <w:ilvl w:val="0"/>
                <w:numId w:val="3"/>
              </w:numPr>
              <w:spacing w:before="0" w:after="120"/>
              <w:ind w:left="340" w:hanging="266"/>
              <w:rPr>
                <w:rFonts w:ascii="Corbel" w:hAnsi="Corbel"/>
                <w:b w:val="0"/>
                <w:smallCaps w:val="0"/>
                <w:szCs w:val="24"/>
              </w:rPr>
            </w:pPr>
            <w:r w:rsidRPr="00AA0D97">
              <w:rPr>
                <w:rFonts w:ascii="Corbel" w:hAnsi="Corbel"/>
                <w:b w:val="0"/>
                <w:smallCaps w:val="0"/>
                <w:szCs w:val="24"/>
              </w:rPr>
              <w:t xml:space="preserve">Małgorzata Sikora-Gaca, Michał Piechowicz, Marcin Kleinowski, Zarządzanie funduszami europejskimi w Polsce, Warszawa 2018 </w:t>
            </w:r>
          </w:p>
        </w:tc>
      </w:tr>
      <w:tr w:rsidR="0085747A" w:rsidRPr="00FB586E" w14:paraId="5F02C01D" w14:textId="77777777" w:rsidTr="00FD3F62">
        <w:trPr>
          <w:trHeight w:val="58"/>
        </w:trPr>
        <w:tc>
          <w:tcPr>
            <w:tcW w:w="9034" w:type="dxa"/>
          </w:tcPr>
          <w:p w14:paraId="4A3DC1F2" w14:textId="77777777" w:rsidR="009E4620" w:rsidRPr="00E51AEF" w:rsidRDefault="0085747A" w:rsidP="00E51AEF">
            <w:pPr>
              <w:pStyle w:val="Punktygwne"/>
              <w:spacing w:before="120" w:after="120"/>
              <w:rPr>
                <w:rFonts w:ascii="Corbel" w:hAnsi="Corbel"/>
                <w:bCs/>
                <w:smallCaps w:val="0"/>
              </w:rPr>
            </w:pPr>
            <w:r w:rsidRPr="00E51AEF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3E464EFC" w14:textId="77777777" w:rsidR="009457AD" w:rsidRPr="00E51AEF" w:rsidRDefault="009457AD" w:rsidP="00E51AEF">
            <w:pPr>
              <w:pStyle w:val="Punktygwne"/>
              <w:numPr>
                <w:ilvl w:val="0"/>
                <w:numId w:val="8"/>
              </w:numPr>
              <w:spacing w:before="0" w:after="0"/>
              <w:ind w:left="276" w:hanging="276"/>
              <w:rPr>
                <w:rFonts w:ascii="Corbel" w:hAnsi="Corbel"/>
                <w:b w:val="0"/>
                <w:smallCaps w:val="0"/>
                <w:szCs w:val="24"/>
              </w:rPr>
            </w:pPr>
            <w:r w:rsidRPr="00E51AEF">
              <w:rPr>
                <w:rFonts w:ascii="Corbel" w:hAnsi="Corbel"/>
                <w:b w:val="0"/>
                <w:smallCaps w:val="0"/>
                <w:szCs w:val="24"/>
              </w:rPr>
              <w:t xml:space="preserve">Marcin Kleinowski, Michał Piechowicz, Małgorzata Sikora-Gaca, Fundusze i programy UE wspierające przedsiębiorstwa w perspektywie 2014-2020, Warszawa 2016 </w:t>
            </w:r>
          </w:p>
          <w:p w14:paraId="2A50ECDE" w14:textId="54C01248" w:rsidR="009457AD" w:rsidRPr="00E51AEF" w:rsidRDefault="009457AD" w:rsidP="00E51AEF">
            <w:pPr>
              <w:pStyle w:val="Punktygwne"/>
              <w:numPr>
                <w:ilvl w:val="0"/>
                <w:numId w:val="8"/>
              </w:numPr>
              <w:spacing w:before="0" w:after="0"/>
              <w:ind w:left="276" w:hanging="276"/>
              <w:rPr>
                <w:rFonts w:ascii="Corbel" w:hAnsi="Corbel"/>
                <w:b w:val="0"/>
                <w:smallCaps w:val="0"/>
                <w:szCs w:val="24"/>
              </w:rPr>
            </w:pPr>
            <w:r w:rsidRPr="00E51AEF">
              <w:rPr>
                <w:rFonts w:ascii="Corbel" w:hAnsi="Corbel"/>
                <w:b w:val="0"/>
                <w:smallCaps w:val="0"/>
                <w:szCs w:val="24"/>
              </w:rPr>
              <w:t xml:space="preserve">Dubel P., Polityka regionalna i fundusze strukturalne w praktyce, Warszawa 2012. </w:t>
            </w:r>
          </w:p>
          <w:p w14:paraId="7D9BD9E2" w14:textId="77777777" w:rsidR="00535720" w:rsidRPr="00E51AEF" w:rsidRDefault="009457AD" w:rsidP="00E51AEF">
            <w:pPr>
              <w:pStyle w:val="Punktygwne"/>
              <w:numPr>
                <w:ilvl w:val="0"/>
                <w:numId w:val="8"/>
              </w:numPr>
              <w:spacing w:before="0" w:after="120"/>
              <w:ind w:left="278" w:hanging="27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51AEF">
              <w:rPr>
                <w:rFonts w:ascii="Corbel" w:hAnsi="Corbel"/>
                <w:b w:val="0"/>
                <w:smallCaps w:val="0"/>
                <w:szCs w:val="24"/>
              </w:rPr>
              <w:t>Ładasz</w:t>
            </w:r>
            <w:proofErr w:type="spellEnd"/>
            <w:r w:rsidRPr="00E51AEF">
              <w:rPr>
                <w:rFonts w:ascii="Corbel" w:hAnsi="Corbel"/>
                <w:b w:val="0"/>
                <w:smallCaps w:val="0"/>
                <w:szCs w:val="24"/>
              </w:rPr>
              <w:t xml:space="preserve"> J., Polityka strukturalna Polski i Unii Europejskiej, 2008.</w:t>
            </w:r>
          </w:p>
        </w:tc>
      </w:tr>
    </w:tbl>
    <w:p w14:paraId="0791130C" w14:textId="77777777" w:rsidR="0085747A" w:rsidRPr="00FB586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946629" w14:textId="77777777" w:rsidR="0085747A" w:rsidRPr="00FB586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01294" w14:textId="77777777" w:rsidR="0085747A" w:rsidRPr="00FB586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B586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B586E" w:rsidSect="00714AC1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15A33" w14:textId="77777777" w:rsidR="004421B2" w:rsidRDefault="004421B2" w:rsidP="00C16ABF">
      <w:pPr>
        <w:spacing w:after="0" w:line="240" w:lineRule="auto"/>
      </w:pPr>
      <w:r>
        <w:separator/>
      </w:r>
    </w:p>
  </w:endnote>
  <w:endnote w:type="continuationSeparator" w:id="0">
    <w:p w14:paraId="63AC93D3" w14:textId="77777777" w:rsidR="004421B2" w:rsidRDefault="004421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7E65C" w14:textId="77777777" w:rsidR="004421B2" w:rsidRDefault="004421B2" w:rsidP="00C16ABF">
      <w:pPr>
        <w:spacing w:after="0" w:line="240" w:lineRule="auto"/>
      </w:pPr>
      <w:r>
        <w:separator/>
      </w:r>
    </w:p>
  </w:footnote>
  <w:footnote w:type="continuationSeparator" w:id="0">
    <w:p w14:paraId="37D9D084" w14:textId="77777777" w:rsidR="004421B2" w:rsidRDefault="004421B2" w:rsidP="00C16ABF">
      <w:pPr>
        <w:spacing w:after="0" w:line="240" w:lineRule="auto"/>
      </w:pPr>
      <w:r>
        <w:continuationSeparator/>
      </w:r>
    </w:p>
  </w:footnote>
  <w:footnote w:id="1">
    <w:p w14:paraId="2224166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139A6"/>
    <w:multiLevelType w:val="hybridMultilevel"/>
    <w:tmpl w:val="C8D2D9AE"/>
    <w:lvl w:ilvl="0" w:tplc="2802478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DF0187"/>
    <w:multiLevelType w:val="hybridMultilevel"/>
    <w:tmpl w:val="1F266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D433C"/>
    <w:multiLevelType w:val="hybridMultilevel"/>
    <w:tmpl w:val="47B2F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8129F"/>
    <w:multiLevelType w:val="hybridMultilevel"/>
    <w:tmpl w:val="363AD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1106E"/>
    <w:multiLevelType w:val="hybridMultilevel"/>
    <w:tmpl w:val="007AA272"/>
    <w:lvl w:ilvl="0" w:tplc="0415000F">
      <w:start w:val="1"/>
      <w:numFmt w:val="decimal"/>
      <w:lvlText w:val="%1."/>
      <w:lvlJc w:val="left"/>
      <w:pPr>
        <w:ind w:left="713" w:hanging="360"/>
      </w:p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6" w15:restartNumberingAfterBreak="0">
    <w:nsid w:val="57162578"/>
    <w:multiLevelType w:val="hybridMultilevel"/>
    <w:tmpl w:val="A19E9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01735"/>
    <w:multiLevelType w:val="multilevel"/>
    <w:tmpl w:val="05C23E3E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 w16cid:durableId="1792430092">
    <w:abstractNumId w:val="1"/>
  </w:num>
  <w:num w:numId="2" w16cid:durableId="1901599279">
    <w:abstractNumId w:val="4"/>
  </w:num>
  <w:num w:numId="3" w16cid:durableId="1440834624">
    <w:abstractNumId w:val="3"/>
  </w:num>
  <w:num w:numId="4" w16cid:durableId="1341929955">
    <w:abstractNumId w:val="6"/>
  </w:num>
  <w:num w:numId="5" w16cid:durableId="271018025">
    <w:abstractNumId w:val="0"/>
  </w:num>
  <w:num w:numId="6" w16cid:durableId="524708030">
    <w:abstractNumId w:val="2"/>
  </w:num>
  <w:num w:numId="7" w16cid:durableId="369037675">
    <w:abstractNumId w:val="7"/>
  </w:num>
  <w:num w:numId="8" w16cid:durableId="25725087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536"/>
    <w:rsid w:val="00042A51"/>
    <w:rsid w:val="00042D2E"/>
    <w:rsid w:val="00044C82"/>
    <w:rsid w:val="00045437"/>
    <w:rsid w:val="0006066E"/>
    <w:rsid w:val="0006689F"/>
    <w:rsid w:val="00070ED6"/>
    <w:rsid w:val="000742DC"/>
    <w:rsid w:val="00084C12"/>
    <w:rsid w:val="000929B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93A"/>
    <w:rsid w:val="00146BC0"/>
    <w:rsid w:val="00153C41"/>
    <w:rsid w:val="00154381"/>
    <w:rsid w:val="001640A7"/>
    <w:rsid w:val="00164FA7"/>
    <w:rsid w:val="00165338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579"/>
    <w:rsid w:val="00281FF2"/>
    <w:rsid w:val="0028260C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C04"/>
    <w:rsid w:val="003530DD"/>
    <w:rsid w:val="00363F78"/>
    <w:rsid w:val="003A0A5B"/>
    <w:rsid w:val="003A1176"/>
    <w:rsid w:val="003C0BAE"/>
    <w:rsid w:val="003D18A9"/>
    <w:rsid w:val="003D63DB"/>
    <w:rsid w:val="003D6CE2"/>
    <w:rsid w:val="003E1941"/>
    <w:rsid w:val="003E2FE6"/>
    <w:rsid w:val="003E48C7"/>
    <w:rsid w:val="003E49D5"/>
    <w:rsid w:val="003F38C0"/>
    <w:rsid w:val="00400664"/>
    <w:rsid w:val="00405C03"/>
    <w:rsid w:val="00414E3C"/>
    <w:rsid w:val="00417B66"/>
    <w:rsid w:val="0042244A"/>
    <w:rsid w:val="0042745A"/>
    <w:rsid w:val="00431D5C"/>
    <w:rsid w:val="004362C6"/>
    <w:rsid w:val="00437FA2"/>
    <w:rsid w:val="004421B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720"/>
    <w:rsid w:val="005363C4"/>
    <w:rsid w:val="00536BDE"/>
    <w:rsid w:val="00543953"/>
    <w:rsid w:val="00543ACC"/>
    <w:rsid w:val="0056696D"/>
    <w:rsid w:val="005815B5"/>
    <w:rsid w:val="0059484D"/>
    <w:rsid w:val="005A0855"/>
    <w:rsid w:val="005A3196"/>
    <w:rsid w:val="005B5695"/>
    <w:rsid w:val="005B5C8B"/>
    <w:rsid w:val="005C080F"/>
    <w:rsid w:val="005C55E5"/>
    <w:rsid w:val="005C696A"/>
    <w:rsid w:val="005E6E85"/>
    <w:rsid w:val="005F31D2"/>
    <w:rsid w:val="0060790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2BB"/>
    <w:rsid w:val="006D6139"/>
    <w:rsid w:val="006E5D65"/>
    <w:rsid w:val="006F1282"/>
    <w:rsid w:val="006F1FBC"/>
    <w:rsid w:val="006F31E2"/>
    <w:rsid w:val="007037F8"/>
    <w:rsid w:val="00706544"/>
    <w:rsid w:val="007072BA"/>
    <w:rsid w:val="00712A01"/>
    <w:rsid w:val="00714AC1"/>
    <w:rsid w:val="0071620A"/>
    <w:rsid w:val="0072251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155"/>
    <w:rsid w:val="007A2305"/>
    <w:rsid w:val="007A4022"/>
    <w:rsid w:val="007A6E6E"/>
    <w:rsid w:val="007B3D8E"/>
    <w:rsid w:val="007C3299"/>
    <w:rsid w:val="007C32C6"/>
    <w:rsid w:val="007C3BCC"/>
    <w:rsid w:val="007C4546"/>
    <w:rsid w:val="007D6E56"/>
    <w:rsid w:val="007F4155"/>
    <w:rsid w:val="007F679D"/>
    <w:rsid w:val="0081554D"/>
    <w:rsid w:val="0081707E"/>
    <w:rsid w:val="008449B3"/>
    <w:rsid w:val="0085747A"/>
    <w:rsid w:val="00884922"/>
    <w:rsid w:val="00885F64"/>
    <w:rsid w:val="0088696F"/>
    <w:rsid w:val="008917F9"/>
    <w:rsid w:val="0089CE5F"/>
    <w:rsid w:val="008A45F7"/>
    <w:rsid w:val="008A7F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7AD"/>
    <w:rsid w:val="009508DF"/>
    <w:rsid w:val="00950DAC"/>
    <w:rsid w:val="00954A07"/>
    <w:rsid w:val="0097533E"/>
    <w:rsid w:val="00997E98"/>
    <w:rsid w:val="00997F14"/>
    <w:rsid w:val="009A78D9"/>
    <w:rsid w:val="009B265E"/>
    <w:rsid w:val="009C3E31"/>
    <w:rsid w:val="009C54AE"/>
    <w:rsid w:val="009C788E"/>
    <w:rsid w:val="009E3B41"/>
    <w:rsid w:val="009E462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D3"/>
    <w:rsid w:val="00A63958"/>
    <w:rsid w:val="00A754C1"/>
    <w:rsid w:val="00A84C85"/>
    <w:rsid w:val="00A97DE1"/>
    <w:rsid w:val="00AA0D97"/>
    <w:rsid w:val="00AB053C"/>
    <w:rsid w:val="00AD1146"/>
    <w:rsid w:val="00AD27D3"/>
    <w:rsid w:val="00AD66D6"/>
    <w:rsid w:val="00AE1160"/>
    <w:rsid w:val="00AE203C"/>
    <w:rsid w:val="00AE2E74"/>
    <w:rsid w:val="00AE5FCB"/>
    <w:rsid w:val="00AF1995"/>
    <w:rsid w:val="00AF2C1E"/>
    <w:rsid w:val="00B06142"/>
    <w:rsid w:val="00B135B1"/>
    <w:rsid w:val="00B257BE"/>
    <w:rsid w:val="00B3130B"/>
    <w:rsid w:val="00B40ADB"/>
    <w:rsid w:val="00B41F89"/>
    <w:rsid w:val="00B43B77"/>
    <w:rsid w:val="00B43E80"/>
    <w:rsid w:val="00B56B29"/>
    <w:rsid w:val="00B607DB"/>
    <w:rsid w:val="00B646CD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3C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6475"/>
    <w:rsid w:val="00CC1F31"/>
    <w:rsid w:val="00CC48EC"/>
    <w:rsid w:val="00CD162E"/>
    <w:rsid w:val="00CD6897"/>
    <w:rsid w:val="00CE5BAC"/>
    <w:rsid w:val="00CF25BE"/>
    <w:rsid w:val="00CF78ED"/>
    <w:rsid w:val="00D02B25"/>
    <w:rsid w:val="00D02EBA"/>
    <w:rsid w:val="00D05E3E"/>
    <w:rsid w:val="00D135AC"/>
    <w:rsid w:val="00D17C3C"/>
    <w:rsid w:val="00D26B2C"/>
    <w:rsid w:val="00D352C9"/>
    <w:rsid w:val="00D3571F"/>
    <w:rsid w:val="00D425B2"/>
    <w:rsid w:val="00D428D6"/>
    <w:rsid w:val="00D47BDE"/>
    <w:rsid w:val="00D552B2"/>
    <w:rsid w:val="00D608D1"/>
    <w:rsid w:val="00D74119"/>
    <w:rsid w:val="00D8075B"/>
    <w:rsid w:val="00D8678B"/>
    <w:rsid w:val="00D95292"/>
    <w:rsid w:val="00DA2114"/>
    <w:rsid w:val="00DA6E0C"/>
    <w:rsid w:val="00DE09C0"/>
    <w:rsid w:val="00DE4A14"/>
    <w:rsid w:val="00DF320D"/>
    <w:rsid w:val="00DF466C"/>
    <w:rsid w:val="00DF71C8"/>
    <w:rsid w:val="00E01D23"/>
    <w:rsid w:val="00E129B8"/>
    <w:rsid w:val="00E21E7D"/>
    <w:rsid w:val="00E22FBC"/>
    <w:rsid w:val="00E24BF5"/>
    <w:rsid w:val="00E25338"/>
    <w:rsid w:val="00E51AE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EDE"/>
    <w:rsid w:val="00EE32DE"/>
    <w:rsid w:val="00EE5457"/>
    <w:rsid w:val="00F070AB"/>
    <w:rsid w:val="00F17567"/>
    <w:rsid w:val="00F27A7B"/>
    <w:rsid w:val="00F353E8"/>
    <w:rsid w:val="00F42CE5"/>
    <w:rsid w:val="00F526AF"/>
    <w:rsid w:val="00F617C3"/>
    <w:rsid w:val="00F7066B"/>
    <w:rsid w:val="00F83B28"/>
    <w:rsid w:val="00FA46E5"/>
    <w:rsid w:val="00FB586E"/>
    <w:rsid w:val="00FB7DBA"/>
    <w:rsid w:val="00FC1C25"/>
    <w:rsid w:val="00FC3F45"/>
    <w:rsid w:val="00FD0DE9"/>
    <w:rsid w:val="00FD3F62"/>
    <w:rsid w:val="00FD503F"/>
    <w:rsid w:val="00FD59A6"/>
    <w:rsid w:val="00FD7589"/>
    <w:rsid w:val="00FF016A"/>
    <w:rsid w:val="00FF1401"/>
    <w:rsid w:val="00FF5E7D"/>
    <w:rsid w:val="055BE30C"/>
    <w:rsid w:val="0A4230DA"/>
    <w:rsid w:val="0C9DD1A0"/>
    <w:rsid w:val="142F872A"/>
    <w:rsid w:val="18BEA389"/>
    <w:rsid w:val="2B1D0DFC"/>
    <w:rsid w:val="2D3C6070"/>
    <w:rsid w:val="2FC3B46E"/>
    <w:rsid w:val="342363C3"/>
    <w:rsid w:val="47A045F9"/>
    <w:rsid w:val="4E904DA3"/>
    <w:rsid w:val="5333729C"/>
    <w:rsid w:val="551D5A9E"/>
    <w:rsid w:val="56720696"/>
    <w:rsid w:val="594ABD29"/>
    <w:rsid w:val="5BA71AF0"/>
    <w:rsid w:val="698EE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D3BB"/>
  <w15:docId w15:val="{41281CB7-96D9-48DE-B778-72086DE84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aliases w:val="Tekst przypisu dolnego-poligrafia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dolnego-poligrafia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653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65338"/>
    <w:rPr>
      <w:rFonts w:ascii="Courier New" w:eastAsia="Times New Roman" w:hAnsi="Courier New" w:cs="Courier New"/>
    </w:rPr>
  </w:style>
  <w:style w:type="paragraph" w:customStyle="1" w:styleId="TableParagraph">
    <w:name w:val="Table Paragraph"/>
    <w:basedOn w:val="Normalny"/>
    <w:uiPriority w:val="1"/>
    <w:qFormat/>
    <w:rsid w:val="00C023CE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D47B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B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BD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BDE"/>
    <w:pPr>
      <w:widowControl w:val="0"/>
      <w:autoSpaceDE w:val="0"/>
      <w:autoSpaceDN w:val="0"/>
      <w:spacing w:after="0"/>
    </w:pPr>
    <w:rPr>
      <w:rFonts w:ascii="Corbel" w:eastAsia="Corbel" w:hAnsi="Corbel" w:cs="Corbe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7BDE"/>
    <w:rPr>
      <w:rFonts w:ascii="Corbel" w:eastAsia="Corbel" w:hAnsi="Corbel" w:cs="Corbe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8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0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F19E6-8DCC-4C8B-99CC-A45CD7F87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1463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12</cp:revision>
  <cp:lastPrinted>2026-01-19T12:29:00Z</cp:lastPrinted>
  <dcterms:created xsi:type="dcterms:W3CDTF">2023-09-13T19:35:00Z</dcterms:created>
  <dcterms:modified xsi:type="dcterms:W3CDTF">2026-01-19T12:39:00Z</dcterms:modified>
</cp:coreProperties>
</file>